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EA318">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2023年度</w:t>
      </w:r>
      <w:r>
        <w:rPr>
          <w:rFonts w:hint="eastAsia" w:ascii="方正小标宋简体" w:hAnsi="方正小标宋简体" w:eastAsia="方正小标宋简体" w:cs="方正小标宋简体"/>
          <w:sz w:val="44"/>
          <w:szCs w:val="44"/>
        </w:rPr>
        <w:t>求职创业补贴</w:t>
      </w:r>
    </w:p>
    <w:p w14:paraId="656408C2">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项目支出绩效自评报告</w:t>
      </w:r>
    </w:p>
    <w:p w14:paraId="49B0E0FA">
      <w:pPr>
        <w:spacing w:line="600" w:lineRule="exact"/>
        <w:ind w:firstLine="640" w:firstLineChars="200"/>
        <w:rPr>
          <w:rFonts w:eastAsia="黑体"/>
          <w:sz w:val="32"/>
          <w:szCs w:val="32"/>
        </w:rPr>
      </w:pPr>
    </w:p>
    <w:p w14:paraId="21B3C33E">
      <w:pPr>
        <w:spacing w:line="560" w:lineRule="exact"/>
        <w:ind w:firstLine="640" w:firstLineChars="200"/>
        <w:rPr>
          <w:rFonts w:eastAsia="黑体"/>
          <w:sz w:val="32"/>
          <w:szCs w:val="32"/>
        </w:rPr>
      </w:pPr>
      <w:r>
        <w:rPr>
          <w:rFonts w:hint="eastAsia" w:eastAsia="黑体"/>
          <w:sz w:val="32"/>
          <w:szCs w:val="32"/>
        </w:rPr>
        <w:t>一、项目基本情况</w:t>
      </w:r>
    </w:p>
    <w:p w14:paraId="0855F4FF">
      <w:pPr>
        <w:spacing w:line="560" w:lineRule="exact"/>
        <w:ind w:firstLine="640" w:firstLineChars="200"/>
        <w:rPr>
          <w:rFonts w:eastAsia="黑体"/>
          <w:sz w:val="32"/>
          <w:szCs w:val="32"/>
        </w:rPr>
      </w:pPr>
      <w:r>
        <w:rPr>
          <w:rFonts w:hint="eastAsia" w:eastAsia="黑体"/>
          <w:sz w:val="32"/>
          <w:szCs w:val="32"/>
        </w:rPr>
        <w:t>（一）项目概况</w:t>
      </w:r>
    </w:p>
    <w:p w14:paraId="7A0B6830">
      <w:pPr>
        <w:pStyle w:val="11"/>
        <w:spacing w:line="560" w:lineRule="exact"/>
        <w:ind w:firstLine="640"/>
        <w:rPr>
          <w:rFonts w:hint="eastAsia" w:ascii="仿宋" w:hAnsi="仿宋" w:eastAsia="仿宋" w:cs="仿宋"/>
          <w:szCs w:val="32"/>
        </w:rPr>
      </w:pPr>
      <w:r>
        <w:rPr>
          <w:rFonts w:hint="eastAsia" w:ascii="仿宋" w:hAnsi="仿宋" w:eastAsia="仿宋" w:cs="仿宋"/>
          <w:szCs w:val="32"/>
        </w:rPr>
        <w:t>1.项目决策背景</w:t>
      </w:r>
    </w:p>
    <w:p w14:paraId="64A49B73">
      <w:pPr>
        <w:pStyle w:val="11"/>
        <w:spacing w:line="560" w:lineRule="exact"/>
        <w:ind w:firstLine="640"/>
        <w:rPr>
          <w:rFonts w:hint="eastAsia" w:ascii="仿宋" w:hAnsi="仿宋" w:eastAsia="仿宋" w:cs="仿宋"/>
          <w:szCs w:val="32"/>
        </w:rPr>
      </w:pPr>
      <w:r>
        <w:rPr>
          <w:rFonts w:hint="eastAsia" w:ascii="仿宋" w:hAnsi="仿宋" w:eastAsia="仿宋" w:cs="仿宋"/>
          <w:szCs w:val="32"/>
        </w:rPr>
        <w:t>对困难应届毕业生给予一次性求职创业补贴是贯彻落实中央、省、市关于促进高校毕业生就业的具体举措。根据《湖南省人力资源和社会保障厅  湖南省教育厅  湖南省财政厅关于进一步做好应届毕业生求职创业补贴发放工作的通知》（湘人社发〔2015〕60号）和《湖南省财政厅 湖南省人力资源和社会保障厅关于印发&lt;湖南省就业专项资金管理办法&gt;的通知》（湘财规〔2018〕25号）等文件精神，对符合要求的应届毕业生发放一次性求职创业补贴。</w:t>
      </w:r>
    </w:p>
    <w:p w14:paraId="2E53A1C4">
      <w:pPr>
        <w:pStyle w:val="11"/>
        <w:spacing w:line="560" w:lineRule="exact"/>
        <w:ind w:firstLine="640"/>
        <w:rPr>
          <w:rFonts w:hint="eastAsia" w:ascii="仿宋" w:hAnsi="仿宋" w:eastAsia="仿宋" w:cs="仿宋"/>
          <w:szCs w:val="32"/>
        </w:rPr>
      </w:pPr>
      <w:r>
        <w:rPr>
          <w:rFonts w:hint="eastAsia" w:ascii="仿宋" w:hAnsi="仿宋" w:eastAsia="仿宋" w:cs="仿宋"/>
          <w:szCs w:val="32"/>
        </w:rPr>
        <w:t>2.项目主要内容</w:t>
      </w:r>
    </w:p>
    <w:p w14:paraId="19EC6931">
      <w:pPr>
        <w:pStyle w:val="11"/>
        <w:spacing w:line="560" w:lineRule="exact"/>
        <w:ind w:firstLine="640"/>
        <w:rPr>
          <w:rFonts w:hint="eastAsia" w:ascii="仿宋" w:hAnsi="仿宋" w:eastAsia="仿宋" w:cs="仿宋"/>
          <w:szCs w:val="32"/>
        </w:rPr>
      </w:pPr>
      <w:r>
        <w:rPr>
          <w:rFonts w:hint="eastAsia" w:ascii="仿宋" w:hAnsi="仿宋" w:eastAsia="仿宋" w:cs="仿宋"/>
          <w:szCs w:val="32"/>
        </w:rPr>
        <w:t>对我校2024届有就业创业意愿并积极求职创业的城乡低保家庭、贫困残疾人家庭、脱贫户（原建档立卡贫困户）和特困人员中的应届毕业生，残疾人、孤儿及已获得国家助学贷款的应届毕业生发放一次性求职创业补贴。</w:t>
      </w:r>
    </w:p>
    <w:p w14:paraId="3FE3209C">
      <w:pPr>
        <w:pStyle w:val="11"/>
        <w:spacing w:line="560" w:lineRule="exact"/>
        <w:ind w:firstLine="640"/>
        <w:rPr>
          <w:rFonts w:hint="eastAsia" w:ascii="仿宋" w:hAnsi="仿宋" w:eastAsia="仿宋" w:cs="仿宋"/>
          <w:szCs w:val="32"/>
        </w:rPr>
      </w:pPr>
      <w:r>
        <w:rPr>
          <w:rFonts w:hint="eastAsia" w:ascii="仿宋" w:hAnsi="仿宋" w:eastAsia="仿宋" w:cs="仿宋"/>
          <w:szCs w:val="32"/>
        </w:rPr>
        <w:t>3.项目组织管理机构</w:t>
      </w:r>
    </w:p>
    <w:p w14:paraId="1D8C2B2F">
      <w:pPr>
        <w:pStyle w:val="11"/>
        <w:spacing w:line="560" w:lineRule="exact"/>
        <w:ind w:firstLine="640"/>
        <w:rPr>
          <w:rFonts w:hint="eastAsia" w:ascii="仿宋" w:hAnsi="仿宋" w:eastAsia="仿宋" w:cs="仿宋"/>
          <w:szCs w:val="32"/>
        </w:rPr>
      </w:pPr>
      <w:r>
        <w:rPr>
          <w:rFonts w:hint="eastAsia" w:ascii="仿宋" w:hAnsi="仿宋" w:eastAsia="仿宋" w:cs="仿宋"/>
          <w:szCs w:val="32"/>
        </w:rPr>
        <w:t>招生就业处</w:t>
      </w:r>
    </w:p>
    <w:p w14:paraId="25616E43">
      <w:pPr>
        <w:spacing w:line="560" w:lineRule="exact"/>
        <w:ind w:firstLine="640" w:firstLineChars="200"/>
        <w:rPr>
          <w:rFonts w:eastAsia="黑体"/>
          <w:sz w:val="32"/>
          <w:szCs w:val="32"/>
        </w:rPr>
      </w:pPr>
      <w:r>
        <w:rPr>
          <w:rFonts w:hint="eastAsia" w:eastAsia="黑体"/>
          <w:sz w:val="32"/>
          <w:szCs w:val="32"/>
        </w:rPr>
        <w:t>（二）预算资金使用管理情况</w:t>
      </w:r>
    </w:p>
    <w:p w14:paraId="25CFBF0F">
      <w:pPr>
        <w:pStyle w:val="11"/>
        <w:spacing w:line="560" w:lineRule="exact"/>
        <w:ind w:firstLine="640"/>
        <w:rPr>
          <w:rFonts w:hint="eastAsia" w:ascii="仿宋" w:hAnsi="仿宋" w:eastAsia="仿宋" w:cs="仿宋"/>
          <w:szCs w:val="32"/>
        </w:rPr>
      </w:pPr>
      <w:r>
        <w:rPr>
          <w:rFonts w:hint="eastAsia" w:ascii="仿宋" w:hAnsi="仿宋" w:eastAsia="仿宋" w:cs="仿宋"/>
          <w:szCs w:val="32"/>
        </w:rPr>
        <w:t>1.预算资金安排及管理情况</w:t>
      </w:r>
    </w:p>
    <w:p w14:paraId="2DE15733">
      <w:pPr>
        <w:pStyle w:val="11"/>
        <w:spacing w:line="560" w:lineRule="exact"/>
        <w:ind w:firstLine="640"/>
        <w:rPr>
          <w:rFonts w:hint="eastAsia" w:ascii="仿宋" w:hAnsi="仿宋" w:eastAsia="仿宋" w:cs="仿宋"/>
          <w:szCs w:val="32"/>
        </w:rPr>
      </w:pPr>
      <w:r>
        <w:rPr>
          <w:rFonts w:hint="eastAsia" w:ascii="仿宋" w:hAnsi="仿宋" w:eastAsia="仿宋" w:cs="仿宋"/>
          <w:szCs w:val="32"/>
        </w:rPr>
        <w:t>（1）资金来源及拨付流程</w:t>
      </w:r>
    </w:p>
    <w:p w14:paraId="38DB1492">
      <w:pPr>
        <w:pStyle w:val="11"/>
        <w:spacing w:line="560" w:lineRule="exact"/>
        <w:ind w:firstLine="640"/>
        <w:rPr>
          <w:rFonts w:ascii="Times New Roman" w:hAnsi="Times New Roman"/>
          <w:szCs w:val="32"/>
        </w:rPr>
      </w:pPr>
      <w:r>
        <w:rPr>
          <w:rFonts w:hint="eastAsia" w:ascii="Times New Roman" w:hAnsi="Times New Roman" w:eastAsia="仿宋"/>
          <w:szCs w:val="32"/>
        </w:rPr>
        <w:t>市财政局于每年12月15日前将补贴资金拨付到学校，学校于12月30日前将求职创业补贴拨付到应届毕业生个人银行账户。</w:t>
      </w:r>
    </w:p>
    <w:p w14:paraId="47B10519">
      <w:pPr>
        <w:pStyle w:val="11"/>
        <w:spacing w:line="560" w:lineRule="exact"/>
        <w:ind w:firstLine="640"/>
        <w:rPr>
          <w:rFonts w:hint="eastAsia" w:ascii="仿宋" w:hAnsi="仿宋" w:eastAsia="仿宋" w:cs="仿宋"/>
          <w:szCs w:val="32"/>
        </w:rPr>
      </w:pPr>
      <w:r>
        <w:rPr>
          <w:rFonts w:hint="eastAsia" w:ascii="仿宋" w:hAnsi="仿宋" w:eastAsia="仿宋" w:cs="仿宋"/>
          <w:szCs w:val="32"/>
        </w:rPr>
        <w:t>（2）资金到位情况</w:t>
      </w:r>
    </w:p>
    <w:p w14:paraId="6D1D64AC">
      <w:pPr>
        <w:pStyle w:val="11"/>
        <w:spacing w:line="560" w:lineRule="exact"/>
        <w:ind w:firstLine="640"/>
        <w:rPr>
          <w:rFonts w:hint="eastAsia" w:ascii="仿宋" w:hAnsi="仿宋" w:eastAsia="仿宋" w:cs="仿宋"/>
          <w:szCs w:val="32"/>
        </w:rPr>
      </w:pPr>
      <w:r>
        <w:rPr>
          <w:rFonts w:hint="eastAsia" w:ascii="仿宋" w:hAnsi="仿宋" w:eastAsia="仿宋" w:cs="仿宋"/>
          <w:szCs w:val="32"/>
        </w:rPr>
        <w:t>怀化职业技术学院于2023年11月29日收到2024届毕业生求职创业补贴，金额45.15万元。</w:t>
      </w:r>
    </w:p>
    <w:p w14:paraId="1BAC1D76">
      <w:pPr>
        <w:pStyle w:val="11"/>
        <w:spacing w:line="560" w:lineRule="exact"/>
        <w:ind w:firstLine="640"/>
        <w:rPr>
          <w:rFonts w:hint="eastAsia" w:ascii="仿宋" w:hAnsi="仿宋" w:eastAsia="仿宋" w:cs="仿宋"/>
          <w:szCs w:val="32"/>
        </w:rPr>
      </w:pPr>
      <w:r>
        <w:rPr>
          <w:rFonts w:hint="eastAsia" w:ascii="仿宋" w:hAnsi="仿宋" w:eastAsia="仿宋" w:cs="仿宋"/>
          <w:szCs w:val="32"/>
        </w:rPr>
        <w:t>（3）资金使用情况</w:t>
      </w:r>
    </w:p>
    <w:p w14:paraId="6926BF04">
      <w:pPr>
        <w:pStyle w:val="11"/>
        <w:spacing w:line="560" w:lineRule="exact"/>
        <w:ind w:firstLine="640"/>
        <w:rPr>
          <w:rFonts w:hint="eastAsia" w:ascii="仿宋" w:hAnsi="仿宋" w:eastAsia="仿宋" w:cs="仿宋"/>
          <w:szCs w:val="32"/>
        </w:rPr>
      </w:pPr>
      <w:r>
        <w:rPr>
          <w:rFonts w:hint="eastAsia" w:ascii="仿宋" w:hAnsi="仿宋" w:eastAsia="仿宋" w:cs="仿宋"/>
          <w:szCs w:val="32"/>
        </w:rPr>
        <w:t>本项目截止2023年12月30日已经使用45.15万元，按要求全部拨付到301名符合要求且申报了一次性求职创业补贴的2024届毕业生银行卡内，标准1500元/人。</w:t>
      </w:r>
    </w:p>
    <w:p w14:paraId="0E7AD88B">
      <w:pPr>
        <w:pStyle w:val="11"/>
        <w:spacing w:line="560" w:lineRule="exact"/>
        <w:ind w:firstLine="640"/>
        <w:rPr>
          <w:rFonts w:hint="eastAsia" w:ascii="仿宋" w:hAnsi="仿宋" w:eastAsia="仿宋" w:cs="仿宋"/>
          <w:szCs w:val="32"/>
        </w:rPr>
      </w:pPr>
      <w:r>
        <w:rPr>
          <w:rFonts w:hint="eastAsia" w:ascii="仿宋" w:hAnsi="仿宋" w:eastAsia="仿宋" w:cs="仿宋"/>
          <w:szCs w:val="32"/>
        </w:rPr>
        <w:t>（4）资金管理制度及执行情况</w:t>
      </w:r>
    </w:p>
    <w:p w14:paraId="29B1957B">
      <w:pPr>
        <w:pStyle w:val="11"/>
        <w:spacing w:line="560" w:lineRule="exact"/>
        <w:ind w:firstLine="640"/>
        <w:rPr>
          <w:rFonts w:hint="eastAsia" w:ascii="仿宋" w:hAnsi="仿宋" w:eastAsia="仿宋" w:cs="仿宋"/>
          <w:szCs w:val="32"/>
        </w:rPr>
      </w:pPr>
      <w:bookmarkStart w:id="0" w:name="_Hlk173829825"/>
      <w:r>
        <w:rPr>
          <w:rFonts w:hint="eastAsia" w:ascii="仿宋" w:hAnsi="仿宋" w:eastAsia="仿宋" w:cs="仿宋"/>
          <w:szCs w:val="32"/>
        </w:rPr>
        <w:t xml:space="preserve">专项资金由怀化职业技术学院计划财务处负责资金管理拨付，招生就业处根据怀化市《市本级应届毕业生求职创业补贴操作细则》，并遵照相关财经制度执行。 </w:t>
      </w:r>
      <w:bookmarkEnd w:id="0"/>
    </w:p>
    <w:p w14:paraId="1CC06927">
      <w:pPr>
        <w:pStyle w:val="11"/>
        <w:spacing w:line="560" w:lineRule="exact"/>
        <w:ind w:firstLine="640"/>
        <w:rPr>
          <w:rFonts w:hint="eastAsia" w:ascii="仿宋" w:hAnsi="仿宋" w:eastAsia="仿宋" w:cs="仿宋"/>
          <w:szCs w:val="32"/>
        </w:rPr>
      </w:pPr>
      <w:r>
        <w:rPr>
          <w:rFonts w:hint="eastAsia" w:ascii="仿宋" w:hAnsi="仿宋" w:eastAsia="仿宋" w:cs="仿宋"/>
          <w:szCs w:val="32"/>
        </w:rPr>
        <w:t>2.项目组织实施管理情况</w:t>
      </w:r>
    </w:p>
    <w:p w14:paraId="1C8EAC00">
      <w:pPr>
        <w:pStyle w:val="11"/>
        <w:spacing w:line="560" w:lineRule="exact"/>
        <w:ind w:firstLine="640"/>
        <w:rPr>
          <w:rFonts w:hint="eastAsia" w:ascii="仿宋" w:hAnsi="仿宋" w:eastAsia="仿宋" w:cs="仿宋"/>
          <w:szCs w:val="32"/>
        </w:rPr>
      </w:pPr>
      <w:r>
        <w:rPr>
          <w:rFonts w:hint="eastAsia" w:ascii="仿宋" w:hAnsi="仿宋" w:eastAsia="仿宋" w:cs="仿宋"/>
          <w:szCs w:val="32"/>
        </w:rPr>
        <w:t>按照个人申请、学校初审、市教育局审核、市人社局复审、市财政局资金核拨的程序，由学校招生就业处具体实施，确保项目成果符合预期标准。</w:t>
      </w:r>
    </w:p>
    <w:p w14:paraId="286943A2">
      <w:pPr>
        <w:pStyle w:val="11"/>
        <w:spacing w:line="560" w:lineRule="exact"/>
        <w:ind w:firstLine="643"/>
        <w:rPr>
          <w:rFonts w:hint="eastAsia" w:ascii="黑体" w:hAnsi="黑体" w:eastAsia="黑体"/>
          <w:b/>
          <w:bCs/>
          <w:szCs w:val="32"/>
        </w:rPr>
      </w:pPr>
      <w:r>
        <w:rPr>
          <w:rFonts w:hint="eastAsia" w:ascii="黑体" w:hAnsi="黑体" w:eastAsia="黑体"/>
          <w:b/>
          <w:bCs/>
          <w:szCs w:val="32"/>
        </w:rPr>
        <w:t>（三）预算绩效目标情况</w:t>
      </w:r>
    </w:p>
    <w:p w14:paraId="69546A34">
      <w:pPr>
        <w:pStyle w:val="11"/>
        <w:spacing w:line="560" w:lineRule="exact"/>
        <w:ind w:firstLine="640"/>
        <w:rPr>
          <w:rFonts w:hint="eastAsia" w:ascii="仿宋" w:hAnsi="仿宋" w:eastAsia="仿宋" w:cs="仿宋"/>
          <w:szCs w:val="32"/>
        </w:rPr>
      </w:pPr>
      <w:r>
        <w:rPr>
          <w:rFonts w:hint="eastAsia" w:ascii="仿宋" w:hAnsi="仿宋" w:eastAsia="仿宋" w:cs="仿宋"/>
          <w:szCs w:val="32"/>
        </w:rPr>
        <w:t>1.绩效目标</w:t>
      </w:r>
    </w:p>
    <w:p w14:paraId="03907590">
      <w:pPr>
        <w:pStyle w:val="11"/>
        <w:spacing w:line="560" w:lineRule="exact"/>
        <w:ind w:firstLine="640"/>
        <w:rPr>
          <w:rFonts w:hint="eastAsia" w:ascii="仿宋" w:hAnsi="仿宋" w:eastAsia="仿宋" w:cs="仿宋"/>
          <w:szCs w:val="32"/>
        </w:rPr>
      </w:pPr>
      <w:r>
        <w:rPr>
          <w:rFonts w:hint="eastAsia" w:ascii="仿宋" w:hAnsi="仿宋" w:eastAsia="仿宋" w:cs="仿宋"/>
          <w:szCs w:val="32"/>
        </w:rPr>
        <w:t>按程序逐步办理，严格审核把关，按要求将求职创业补贴拨付到申报且符合要求的2024届毕业生手上。</w:t>
      </w:r>
    </w:p>
    <w:p w14:paraId="57FACEC8">
      <w:pPr>
        <w:pStyle w:val="11"/>
        <w:spacing w:line="560" w:lineRule="exact"/>
        <w:ind w:firstLine="640"/>
        <w:rPr>
          <w:rFonts w:hint="eastAsia" w:ascii="仿宋" w:hAnsi="仿宋" w:eastAsia="仿宋" w:cs="仿宋"/>
          <w:szCs w:val="32"/>
        </w:rPr>
      </w:pPr>
      <w:r>
        <w:rPr>
          <w:rFonts w:hint="eastAsia" w:ascii="仿宋" w:hAnsi="仿宋" w:eastAsia="仿宋" w:cs="仿宋"/>
          <w:szCs w:val="32"/>
        </w:rPr>
        <w:t>2.绩效指标</w:t>
      </w:r>
    </w:p>
    <w:p w14:paraId="5B6A8691">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（1）数量指标</w:t>
      </w:r>
    </w:p>
    <w:p w14:paraId="051E9D3C">
      <w:pPr>
        <w:spacing w:line="6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申请人数。</w:t>
      </w:r>
    </w:p>
    <w:p w14:paraId="0141B0B6">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（2）质量指标</w:t>
      </w:r>
    </w:p>
    <w:p w14:paraId="759198A3">
      <w:pPr>
        <w:ind w:left="210" w:firstLine="640" w:firstLineChars="200"/>
        <w:rPr>
          <w:rFonts w:hint="eastAsia" w:ascii="仿宋" w:hAnsi="仿宋" w:eastAsia="仿宋"/>
          <w:sz w:val="32"/>
          <w:szCs w:val="32"/>
        </w:rPr>
      </w:pPr>
      <w:r>
        <w:rPr>
          <w:rFonts w:hint="eastAsia" w:ascii="仿宋" w:hAnsi="仿宋" w:eastAsia="仿宋"/>
          <w:sz w:val="32"/>
          <w:szCs w:val="32"/>
        </w:rPr>
        <w:t>毕业生就业率。</w:t>
      </w:r>
    </w:p>
    <w:p w14:paraId="330B3EED">
      <w:pPr>
        <w:ind w:firstLine="640" w:firstLineChars="200"/>
        <w:rPr>
          <w:rFonts w:hint="eastAsia" w:ascii="仿宋" w:hAnsi="仿宋" w:eastAsia="仿宋" w:cs="仿宋"/>
          <w:sz w:val="32"/>
          <w:szCs w:val="32"/>
        </w:rPr>
      </w:pPr>
      <w:r>
        <w:rPr>
          <w:rFonts w:hint="eastAsia" w:ascii="仿宋" w:hAnsi="仿宋" w:eastAsia="仿宋" w:cs="仿宋"/>
          <w:sz w:val="32"/>
          <w:szCs w:val="32"/>
        </w:rPr>
        <w:t>（3）时效指标</w:t>
      </w:r>
    </w:p>
    <w:p w14:paraId="5179E98E">
      <w:pPr>
        <w:spacing w:line="620" w:lineRule="exact"/>
        <w:ind w:firstLine="960" w:firstLineChars="300"/>
        <w:rPr>
          <w:rFonts w:hint="eastAsia" w:ascii="仿宋" w:hAnsi="仿宋" w:eastAsia="仿宋" w:cs="仿宋"/>
          <w:sz w:val="32"/>
          <w:szCs w:val="32"/>
        </w:rPr>
      </w:pPr>
      <w:r>
        <w:rPr>
          <w:rFonts w:hint="eastAsia" w:ascii="仿宋" w:hAnsi="仿宋" w:eastAsia="仿宋"/>
          <w:sz w:val="32"/>
          <w:szCs w:val="32"/>
        </w:rPr>
        <w:t>资金及时拨付到位</w:t>
      </w:r>
      <w:r>
        <w:rPr>
          <w:rFonts w:hint="eastAsia" w:ascii="仿宋" w:hAnsi="仿宋" w:eastAsia="仿宋" w:cs="仿宋"/>
          <w:sz w:val="32"/>
          <w:szCs w:val="32"/>
        </w:rPr>
        <w:t>。</w:t>
      </w:r>
    </w:p>
    <w:p w14:paraId="4D01D629">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（4）成本指标</w:t>
      </w:r>
    </w:p>
    <w:p w14:paraId="245491CF">
      <w:pPr>
        <w:pStyle w:val="11"/>
        <w:spacing w:line="560" w:lineRule="exact"/>
        <w:ind w:firstLine="960" w:firstLineChars="300"/>
        <w:rPr>
          <w:rFonts w:ascii="Times New Roman" w:hAnsi="Times New Roman"/>
          <w:szCs w:val="32"/>
        </w:rPr>
      </w:pPr>
      <w:r>
        <w:rPr>
          <w:rFonts w:hint="eastAsia" w:ascii="仿宋" w:hAnsi="仿宋" w:eastAsia="仿宋"/>
          <w:szCs w:val="32"/>
        </w:rPr>
        <w:t>发放金额等于拨付金额。</w:t>
      </w:r>
    </w:p>
    <w:p w14:paraId="5B5ECF21">
      <w:pPr>
        <w:spacing w:line="560" w:lineRule="exact"/>
        <w:ind w:firstLine="640" w:firstLineChars="200"/>
        <w:rPr>
          <w:rFonts w:eastAsia="黑体"/>
          <w:sz w:val="32"/>
          <w:szCs w:val="32"/>
        </w:rPr>
      </w:pPr>
      <w:r>
        <w:rPr>
          <w:rFonts w:hint="eastAsia" w:eastAsia="黑体"/>
          <w:sz w:val="32"/>
          <w:szCs w:val="32"/>
        </w:rPr>
        <w:t>二、绩效评价工作情况</w:t>
      </w:r>
    </w:p>
    <w:p w14:paraId="5F3D189A">
      <w:pPr>
        <w:spacing w:line="560" w:lineRule="exact"/>
        <w:ind w:firstLine="640" w:firstLineChars="200"/>
        <w:rPr>
          <w:rFonts w:eastAsia="黑体"/>
          <w:sz w:val="32"/>
          <w:szCs w:val="32"/>
        </w:rPr>
      </w:pPr>
      <w:r>
        <w:rPr>
          <w:rFonts w:hint="eastAsia" w:eastAsia="黑体"/>
          <w:sz w:val="32"/>
          <w:szCs w:val="32"/>
        </w:rPr>
        <w:t>（一）绩效评价目的</w:t>
      </w:r>
    </w:p>
    <w:p w14:paraId="45E5B033">
      <w:pPr>
        <w:pStyle w:val="11"/>
        <w:spacing w:line="560" w:lineRule="exact"/>
        <w:ind w:firstLine="640"/>
        <w:rPr>
          <w:rFonts w:hint="eastAsia" w:ascii="仿宋" w:hAnsi="仿宋" w:eastAsia="仿宋" w:cs="仿宋"/>
          <w:szCs w:val="32"/>
        </w:rPr>
      </w:pPr>
      <w:r>
        <w:rPr>
          <w:rFonts w:hint="eastAsia" w:ascii="仿宋" w:hAnsi="仿宋" w:eastAsia="仿宋" w:cs="仿宋"/>
          <w:szCs w:val="32"/>
        </w:rPr>
        <w:t>为了确保一次性求职创业补贴资金的使用效率和效果，以及项目目标的实现。</w:t>
      </w:r>
    </w:p>
    <w:p w14:paraId="17A56FB8">
      <w:pPr>
        <w:spacing w:line="560" w:lineRule="exact"/>
        <w:ind w:firstLine="640" w:firstLineChars="200"/>
        <w:rPr>
          <w:rFonts w:eastAsia="黑体"/>
          <w:sz w:val="32"/>
          <w:szCs w:val="32"/>
        </w:rPr>
      </w:pPr>
      <w:r>
        <w:rPr>
          <w:rFonts w:hint="eastAsia" w:eastAsia="黑体"/>
          <w:sz w:val="32"/>
          <w:szCs w:val="32"/>
        </w:rPr>
        <w:t>（二）被评价单位、绩效评价范围与时段</w:t>
      </w:r>
    </w:p>
    <w:p w14:paraId="40BB9B7E">
      <w:pPr>
        <w:pStyle w:val="11"/>
        <w:spacing w:line="560" w:lineRule="exact"/>
        <w:ind w:firstLine="640"/>
        <w:rPr>
          <w:rFonts w:hint="eastAsia" w:ascii="仿宋" w:hAnsi="仿宋" w:eastAsia="仿宋" w:cs="仿宋"/>
          <w:szCs w:val="32"/>
        </w:rPr>
      </w:pPr>
      <w:r>
        <w:rPr>
          <w:rFonts w:hint="eastAsia" w:ascii="仿宋" w:hAnsi="仿宋" w:eastAsia="仿宋" w:cs="仿宋"/>
          <w:szCs w:val="32"/>
        </w:rPr>
        <w:t>被评价单位：招生就业处</w:t>
      </w:r>
    </w:p>
    <w:p w14:paraId="78490CB5">
      <w:pPr>
        <w:pStyle w:val="11"/>
        <w:spacing w:line="560" w:lineRule="exact"/>
        <w:ind w:firstLine="640"/>
        <w:rPr>
          <w:rFonts w:hint="eastAsia" w:ascii="仿宋" w:hAnsi="仿宋" w:eastAsia="仿宋" w:cs="仿宋"/>
          <w:szCs w:val="32"/>
        </w:rPr>
      </w:pPr>
      <w:r>
        <w:rPr>
          <w:rFonts w:hint="eastAsia" w:ascii="仿宋" w:hAnsi="仿宋" w:eastAsia="仿宋" w:cs="仿宋"/>
          <w:szCs w:val="32"/>
        </w:rPr>
        <w:t>绩效评价范围：所涵盖的项目阶段、任务和活动。</w:t>
      </w:r>
    </w:p>
    <w:p w14:paraId="25797716">
      <w:pPr>
        <w:pStyle w:val="11"/>
        <w:spacing w:line="560" w:lineRule="exact"/>
        <w:ind w:firstLine="640"/>
        <w:rPr>
          <w:rFonts w:hint="eastAsia" w:ascii="仿宋" w:hAnsi="仿宋" w:eastAsia="仿宋" w:cs="仿宋"/>
          <w:szCs w:val="32"/>
        </w:rPr>
      </w:pPr>
      <w:r>
        <w:rPr>
          <w:rFonts w:hint="eastAsia" w:ascii="仿宋" w:hAnsi="仿宋" w:eastAsia="仿宋" w:cs="仿宋"/>
          <w:szCs w:val="32"/>
        </w:rPr>
        <w:t>评价时段：项目开始至结束的整个周期。</w:t>
      </w:r>
    </w:p>
    <w:p w14:paraId="3FDA603B">
      <w:pPr>
        <w:spacing w:line="560" w:lineRule="exact"/>
        <w:ind w:firstLine="640" w:firstLineChars="200"/>
        <w:rPr>
          <w:rFonts w:eastAsia="黑体"/>
          <w:sz w:val="32"/>
          <w:szCs w:val="32"/>
        </w:rPr>
      </w:pPr>
      <w:r>
        <w:rPr>
          <w:rFonts w:hint="eastAsia" w:eastAsia="黑体"/>
          <w:sz w:val="32"/>
          <w:szCs w:val="32"/>
        </w:rPr>
        <w:t>（三）绩效评价原则、评价指标体系、评价方法</w:t>
      </w:r>
    </w:p>
    <w:p w14:paraId="37AA9E16">
      <w:pPr>
        <w:pStyle w:val="11"/>
        <w:spacing w:line="560" w:lineRule="exact"/>
        <w:ind w:firstLine="640"/>
        <w:rPr>
          <w:rFonts w:hint="eastAsia" w:ascii="仿宋" w:hAnsi="仿宋" w:eastAsia="仿宋" w:cs="仿宋"/>
          <w:szCs w:val="32"/>
        </w:rPr>
      </w:pPr>
      <w:r>
        <w:rPr>
          <w:rFonts w:hint="eastAsia" w:ascii="仿宋" w:hAnsi="仿宋" w:eastAsia="仿宋" w:cs="仿宋"/>
          <w:szCs w:val="32"/>
        </w:rPr>
        <w:t>1.评价原则</w:t>
      </w:r>
    </w:p>
    <w:p w14:paraId="277F85FD">
      <w:pPr>
        <w:pStyle w:val="11"/>
        <w:spacing w:line="560" w:lineRule="exact"/>
        <w:ind w:firstLine="640"/>
        <w:rPr>
          <w:rFonts w:ascii="Times New Roman" w:hAnsi="Times New Roman"/>
          <w:szCs w:val="32"/>
        </w:rPr>
      </w:pPr>
      <w:r>
        <w:rPr>
          <w:rFonts w:hint="eastAsia" w:ascii="Times New Roman" w:hAnsi="Times New Roman"/>
          <w:szCs w:val="32"/>
        </w:rPr>
        <w:t>客观性：</w:t>
      </w:r>
      <w:r>
        <w:rPr>
          <w:rFonts w:hint="eastAsia" w:ascii="仿宋" w:hAnsi="仿宋" w:eastAsia="仿宋" w:cs="仿宋"/>
          <w:szCs w:val="32"/>
        </w:rPr>
        <w:t>评价应基于事实和数据，避免主观偏见。</w:t>
      </w:r>
    </w:p>
    <w:p w14:paraId="62440623">
      <w:pPr>
        <w:pStyle w:val="11"/>
        <w:spacing w:line="560" w:lineRule="exact"/>
        <w:ind w:firstLine="640"/>
        <w:rPr>
          <w:rFonts w:ascii="Times New Roman" w:hAnsi="Times New Roman"/>
          <w:szCs w:val="32"/>
        </w:rPr>
      </w:pPr>
      <w:r>
        <w:rPr>
          <w:rFonts w:ascii="Times New Roman" w:hAnsi="Times New Roman"/>
          <w:szCs w:val="32"/>
        </w:rPr>
        <w:t>公正性：</w:t>
      </w:r>
      <w:r>
        <w:rPr>
          <w:rFonts w:ascii="仿宋" w:hAnsi="仿宋" w:eastAsia="仿宋" w:cs="仿宋"/>
          <w:szCs w:val="32"/>
        </w:rPr>
        <w:t>确保评价过程和结果的公平性。</w:t>
      </w:r>
    </w:p>
    <w:p w14:paraId="66AC54A3">
      <w:pPr>
        <w:pStyle w:val="11"/>
        <w:spacing w:line="560" w:lineRule="exact"/>
        <w:ind w:firstLine="640"/>
        <w:rPr>
          <w:rFonts w:ascii="Times New Roman" w:hAnsi="Times New Roman"/>
          <w:szCs w:val="32"/>
        </w:rPr>
      </w:pPr>
      <w:r>
        <w:rPr>
          <w:rFonts w:ascii="Times New Roman" w:hAnsi="Times New Roman"/>
          <w:szCs w:val="32"/>
        </w:rPr>
        <w:t>透明性：</w:t>
      </w:r>
      <w:r>
        <w:rPr>
          <w:rFonts w:ascii="仿宋" w:hAnsi="仿宋" w:eastAsia="仿宋" w:cs="仿宋"/>
          <w:szCs w:val="32"/>
        </w:rPr>
        <w:t>评价标准、过程和结果应公开透明。</w:t>
      </w:r>
    </w:p>
    <w:p w14:paraId="7C37EEF1">
      <w:pPr>
        <w:pStyle w:val="11"/>
        <w:spacing w:line="560" w:lineRule="exact"/>
        <w:ind w:firstLine="640"/>
        <w:rPr>
          <w:rFonts w:ascii="Times New Roman" w:hAnsi="Times New Roman"/>
          <w:szCs w:val="32"/>
        </w:rPr>
      </w:pPr>
      <w:r>
        <w:rPr>
          <w:rFonts w:ascii="Times New Roman" w:hAnsi="Times New Roman"/>
          <w:szCs w:val="32"/>
        </w:rPr>
        <w:t>可比性：</w:t>
      </w:r>
      <w:r>
        <w:rPr>
          <w:rFonts w:ascii="仿宋" w:hAnsi="仿宋" w:eastAsia="仿宋" w:cs="仿宋"/>
          <w:szCs w:val="32"/>
        </w:rPr>
        <w:t>评价结果应能够与其他项目或标准进行比较。</w:t>
      </w:r>
    </w:p>
    <w:p w14:paraId="08D68BD0">
      <w:pPr>
        <w:pStyle w:val="11"/>
        <w:spacing w:line="560" w:lineRule="exact"/>
        <w:ind w:firstLine="640"/>
        <w:rPr>
          <w:rFonts w:hint="eastAsia" w:ascii="仿宋" w:hAnsi="仿宋" w:eastAsia="仿宋" w:cs="仿宋"/>
          <w:szCs w:val="32"/>
        </w:rPr>
      </w:pPr>
      <w:r>
        <w:rPr>
          <w:rFonts w:hint="eastAsia" w:ascii="仿宋" w:hAnsi="仿宋" w:eastAsia="仿宋" w:cs="仿宋"/>
          <w:szCs w:val="32"/>
        </w:rPr>
        <w:t>2.评价指标体系</w:t>
      </w:r>
    </w:p>
    <w:p w14:paraId="772E857E">
      <w:pPr>
        <w:widowControl/>
        <w:shd w:val="clear" w:color="auto" w:fill="FFFFFF"/>
        <w:ind w:firstLine="640"/>
        <w:rPr>
          <w:rFonts w:hint="eastAsia" w:ascii="仿宋" w:hAnsi="仿宋" w:eastAsia="仿宋"/>
          <w:color w:val="333333"/>
          <w:kern w:val="0"/>
          <w:sz w:val="32"/>
          <w:szCs w:val="32"/>
        </w:rPr>
      </w:pPr>
      <w:r>
        <w:rPr>
          <w:rFonts w:hint="eastAsia" w:ascii="仿宋" w:hAnsi="仿宋" w:eastAsia="仿宋"/>
          <w:color w:val="333333"/>
          <w:kern w:val="0"/>
          <w:sz w:val="32"/>
          <w:szCs w:val="32"/>
        </w:rPr>
        <w:t>评价指标体系根据绩效评价的基本原理、原则和项目特点，结合《项目支出绩效评价管理办法》、</w:t>
      </w:r>
      <w:r>
        <w:rPr>
          <w:rFonts w:ascii="仿宋" w:hAnsi="仿宋" w:eastAsia="仿宋"/>
          <w:color w:val="333333"/>
          <w:kern w:val="0"/>
          <w:sz w:val="32"/>
          <w:szCs w:val="32"/>
        </w:rPr>
        <w:t>《湖南省预算支出绩效评价管理办法》</w:t>
      </w:r>
      <w:r>
        <w:rPr>
          <w:rFonts w:hint="eastAsia" w:ascii="仿宋" w:hAnsi="仿宋" w:eastAsia="仿宋"/>
          <w:color w:val="333333"/>
          <w:kern w:val="0"/>
          <w:sz w:val="32"/>
          <w:szCs w:val="32"/>
        </w:rPr>
        <w:t>等有关要求设置，本次绩效评价指标体系分别从</w:t>
      </w:r>
      <w:r>
        <w:rPr>
          <w:rFonts w:hint="eastAsia" w:ascii="仿宋" w:hAnsi="仿宋" w:eastAsia="仿宋" w:cs="Times New Roman"/>
          <w:color w:val="333333"/>
          <w:kern w:val="0"/>
          <w:sz w:val="32"/>
          <w:szCs w:val="32"/>
        </w:rPr>
        <w:t>预算执行率、</w:t>
      </w:r>
      <w:r>
        <w:rPr>
          <w:rFonts w:hint="eastAsia" w:ascii="仿宋" w:hAnsi="仿宋" w:eastAsia="仿宋"/>
          <w:color w:val="333333"/>
          <w:kern w:val="0"/>
          <w:sz w:val="32"/>
          <w:szCs w:val="32"/>
        </w:rPr>
        <w:t>产出指标、效益指标、满意度指标等多个方面对其财政支出进行评价，详见附件1：</w:t>
      </w:r>
    </w:p>
    <w:p w14:paraId="7B3A018A">
      <w:pPr>
        <w:pStyle w:val="11"/>
        <w:spacing w:line="560" w:lineRule="exact"/>
        <w:ind w:firstLine="640"/>
        <w:rPr>
          <w:rFonts w:hint="eastAsia" w:ascii="仿宋" w:hAnsi="仿宋" w:eastAsia="仿宋" w:cs="仿宋"/>
          <w:szCs w:val="32"/>
        </w:rPr>
      </w:pPr>
      <w:r>
        <w:rPr>
          <w:rFonts w:hint="eastAsia" w:ascii="仿宋" w:hAnsi="仿宋" w:eastAsia="仿宋" w:cs="仿宋"/>
          <w:szCs w:val="32"/>
        </w:rPr>
        <w:t>3.评价方法</w:t>
      </w:r>
    </w:p>
    <w:p w14:paraId="3DC8598E">
      <w:pPr>
        <w:widowControl/>
        <w:shd w:val="clear" w:color="auto" w:fill="FFFFFF"/>
        <w:ind w:firstLine="640"/>
        <w:rPr>
          <w:rFonts w:hint="eastAsia" w:ascii="仿宋" w:hAnsi="仿宋" w:eastAsia="仿宋"/>
          <w:color w:val="333333"/>
          <w:kern w:val="0"/>
          <w:sz w:val="32"/>
          <w:szCs w:val="32"/>
        </w:rPr>
      </w:pPr>
      <w:r>
        <w:rPr>
          <w:rFonts w:hint="eastAsia" w:ascii="仿宋" w:hAnsi="仿宋" w:eastAsia="仿宋"/>
          <w:color w:val="333333"/>
          <w:kern w:val="0"/>
          <w:sz w:val="32"/>
          <w:szCs w:val="32"/>
        </w:rPr>
        <w:t>评价方法采用数据分析、座谈、询问查证等。</w:t>
      </w:r>
    </w:p>
    <w:p w14:paraId="49044D78">
      <w:pPr>
        <w:spacing w:line="560" w:lineRule="exact"/>
        <w:ind w:firstLine="640" w:firstLineChars="200"/>
        <w:rPr>
          <w:rFonts w:eastAsia="黑体"/>
          <w:sz w:val="32"/>
          <w:szCs w:val="32"/>
        </w:rPr>
      </w:pPr>
      <w:r>
        <w:rPr>
          <w:rFonts w:hint="eastAsia" w:eastAsia="黑体"/>
          <w:sz w:val="32"/>
          <w:szCs w:val="32"/>
        </w:rPr>
        <w:t>三、主要绩效及评价结论</w:t>
      </w:r>
    </w:p>
    <w:p w14:paraId="451CC9A3">
      <w:pPr>
        <w:spacing w:line="560" w:lineRule="exact"/>
        <w:ind w:firstLine="640" w:firstLineChars="200"/>
        <w:rPr>
          <w:rFonts w:eastAsia="黑体"/>
          <w:sz w:val="32"/>
          <w:szCs w:val="32"/>
        </w:rPr>
      </w:pPr>
      <w:r>
        <w:rPr>
          <w:rFonts w:hint="eastAsia" w:eastAsia="黑体"/>
          <w:sz w:val="32"/>
          <w:szCs w:val="32"/>
        </w:rPr>
        <w:t>（一）社会效益</w:t>
      </w:r>
    </w:p>
    <w:p w14:paraId="7C705245">
      <w:pPr>
        <w:pStyle w:val="11"/>
        <w:spacing w:line="560" w:lineRule="exact"/>
        <w:ind w:firstLine="640"/>
        <w:rPr>
          <w:rFonts w:hint="eastAsia" w:ascii="仿宋" w:hAnsi="仿宋" w:eastAsia="仿宋" w:cs="黑体"/>
          <w:color w:val="333333"/>
          <w:szCs w:val="32"/>
        </w:rPr>
      </w:pPr>
      <w:r>
        <w:rPr>
          <w:rFonts w:hint="eastAsia" w:ascii="仿宋" w:hAnsi="仿宋" w:eastAsia="仿宋" w:cs="黑体"/>
          <w:color w:val="333333"/>
          <w:szCs w:val="32"/>
        </w:rPr>
        <w:t>促进学生高质量就业创业。</w:t>
      </w:r>
    </w:p>
    <w:p w14:paraId="7C111C05">
      <w:pPr>
        <w:spacing w:line="560" w:lineRule="exact"/>
        <w:ind w:firstLine="640" w:firstLineChars="200"/>
        <w:rPr>
          <w:rFonts w:eastAsia="黑体"/>
          <w:sz w:val="32"/>
          <w:szCs w:val="32"/>
        </w:rPr>
      </w:pPr>
      <w:r>
        <w:rPr>
          <w:rFonts w:hint="eastAsia" w:eastAsia="黑体"/>
          <w:sz w:val="32"/>
          <w:szCs w:val="32"/>
        </w:rPr>
        <w:t>（二）生态效益</w:t>
      </w:r>
    </w:p>
    <w:p w14:paraId="376CEEDE">
      <w:pPr>
        <w:pStyle w:val="11"/>
        <w:spacing w:line="560" w:lineRule="exact"/>
        <w:ind w:firstLine="640"/>
        <w:rPr>
          <w:rFonts w:hint="eastAsia" w:ascii="仿宋" w:hAnsi="仿宋" w:eastAsia="仿宋" w:cs="仿宋"/>
          <w:szCs w:val="32"/>
        </w:rPr>
      </w:pPr>
      <w:r>
        <w:rPr>
          <w:rFonts w:hint="eastAsia" w:ascii="仿宋" w:hAnsi="仿宋" w:eastAsia="仿宋" w:cs="仿宋"/>
          <w:szCs w:val="32"/>
        </w:rPr>
        <w:t>不适用</w:t>
      </w:r>
    </w:p>
    <w:p w14:paraId="691488A6">
      <w:pPr>
        <w:spacing w:line="560" w:lineRule="exact"/>
        <w:ind w:firstLine="640" w:firstLineChars="200"/>
        <w:rPr>
          <w:rFonts w:eastAsia="黑体"/>
          <w:sz w:val="32"/>
          <w:szCs w:val="32"/>
        </w:rPr>
      </w:pPr>
      <w:r>
        <w:rPr>
          <w:rFonts w:hint="eastAsia" w:eastAsia="黑体"/>
          <w:sz w:val="32"/>
          <w:szCs w:val="32"/>
        </w:rPr>
        <w:t>（三）可持续影响</w:t>
      </w:r>
    </w:p>
    <w:p w14:paraId="001B96F3">
      <w:pPr>
        <w:spacing w:line="560" w:lineRule="exact"/>
        <w:ind w:firstLine="640" w:firstLineChars="200"/>
        <w:rPr>
          <w:rFonts w:hint="eastAsia" w:ascii="仿宋" w:hAnsi="仿宋" w:eastAsia="仿宋"/>
          <w:color w:val="333333"/>
          <w:kern w:val="0"/>
          <w:sz w:val="32"/>
          <w:szCs w:val="32"/>
        </w:rPr>
      </w:pPr>
      <w:r>
        <w:rPr>
          <w:rFonts w:hint="eastAsia" w:ascii="仿宋" w:hAnsi="仿宋" w:eastAsia="仿宋"/>
          <w:color w:val="333333"/>
          <w:kern w:val="0"/>
          <w:sz w:val="32"/>
          <w:szCs w:val="32"/>
        </w:rPr>
        <w:t>资金发放合理规范，推动就业工作。</w:t>
      </w:r>
    </w:p>
    <w:p w14:paraId="336B114B">
      <w:pPr>
        <w:spacing w:line="560" w:lineRule="exact"/>
        <w:ind w:firstLine="640" w:firstLineChars="200"/>
        <w:rPr>
          <w:rFonts w:eastAsia="黑体"/>
          <w:sz w:val="32"/>
          <w:szCs w:val="32"/>
        </w:rPr>
      </w:pPr>
      <w:r>
        <w:rPr>
          <w:rFonts w:hint="eastAsia" w:eastAsia="黑体"/>
          <w:sz w:val="32"/>
          <w:szCs w:val="32"/>
        </w:rPr>
        <w:t>（四）满意度情况</w:t>
      </w:r>
    </w:p>
    <w:p w14:paraId="4DE84676">
      <w:pPr>
        <w:spacing w:line="560" w:lineRule="exact"/>
        <w:ind w:firstLine="640" w:firstLineChars="200"/>
        <w:rPr>
          <w:rFonts w:hint="eastAsia" w:ascii="仿宋" w:hAnsi="仿宋" w:eastAsia="仿宋"/>
          <w:color w:val="333333"/>
          <w:kern w:val="0"/>
          <w:sz w:val="32"/>
          <w:szCs w:val="32"/>
        </w:rPr>
      </w:pPr>
      <w:r>
        <w:rPr>
          <w:rFonts w:hint="eastAsia" w:ascii="仿宋" w:hAnsi="仿宋" w:eastAsia="仿宋"/>
          <w:color w:val="333333"/>
          <w:kern w:val="0"/>
          <w:sz w:val="32"/>
          <w:szCs w:val="32"/>
        </w:rPr>
        <w:t>学生满意度。</w:t>
      </w:r>
    </w:p>
    <w:p w14:paraId="20BAE773">
      <w:pPr>
        <w:spacing w:line="560" w:lineRule="exact"/>
        <w:ind w:firstLine="640" w:firstLineChars="200"/>
        <w:rPr>
          <w:rFonts w:eastAsia="黑体"/>
          <w:sz w:val="32"/>
          <w:szCs w:val="32"/>
        </w:rPr>
      </w:pPr>
      <w:r>
        <w:rPr>
          <w:rFonts w:hint="eastAsia" w:eastAsia="黑体"/>
          <w:sz w:val="32"/>
          <w:szCs w:val="32"/>
        </w:rPr>
        <w:t>（五）评价结论</w:t>
      </w:r>
    </w:p>
    <w:p w14:paraId="3D4DED83">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经自评，本次评价总分100分，自评得分94.45分 ，评价等级为优。</w:t>
      </w:r>
    </w:p>
    <w:p w14:paraId="719D800C">
      <w:pPr>
        <w:spacing w:line="560" w:lineRule="exact"/>
        <w:ind w:firstLine="640" w:firstLineChars="200"/>
        <w:rPr>
          <w:rFonts w:eastAsia="黑体"/>
          <w:sz w:val="32"/>
          <w:szCs w:val="32"/>
        </w:rPr>
      </w:pPr>
      <w:r>
        <w:rPr>
          <w:rFonts w:hint="eastAsia" w:eastAsia="黑体"/>
          <w:sz w:val="32"/>
          <w:szCs w:val="32"/>
        </w:rPr>
        <w:t>四、绩效评价指标分析</w:t>
      </w:r>
    </w:p>
    <w:p w14:paraId="424634CF">
      <w:pPr>
        <w:spacing w:line="560" w:lineRule="exact"/>
        <w:ind w:firstLine="640" w:firstLineChars="200"/>
        <w:rPr>
          <w:rFonts w:eastAsia="黑体"/>
          <w:sz w:val="32"/>
          <w:szCs w:val="32"/>
        </w:rPr>
      </w:pPr>
      <w:r>
        <w:rPr>
          <w:rFonts w:hint="eastAsia" w:eastAsia="黑体"/>
          <w:sz w:val="32"/>
          <w:szCs w:val="32"/>
        </w:rPr>
        <w:t>（一）项目决策情况</w:t>
      </w:r>
    </w:p>
    <w:p w14:paraId="1A64CB22">
      <w:pPr>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本项目在决策阶段，目标设定清晰，与组织战略高度一致。通过全面的可行性分析，确保了项目的实施基础。风险评估全面，制定了有效的风险管理措施。在决策过程中，充分考虑了利益相关者的意见和建议，确保了决策的全面性和合理性。</w:t>
      </w:r>
    </w:p>
    <w:p w14:paraId="27D19A57">
      <w:pPr>
        <w:spacing w:line="560" w:lineRule="exact"/>
        <w:ind w:firstLine="640" w:firstLineChars="200"/>
        <w:rPr>
          <w:rFonts w:eastAsia="黑体"/>
          <w:sz w:val="32"/>
          <w:szCs w:val="32"/>
        </w:rPr>
      </w:pPr>
      <w:r>
        <w:rPr>
          <w:rFonts w:hint="eastAsia" w:eastAsia="黑体"/>
          <w:sz w:val="32"/>
          <w:szCs w:val="32"/>
        </w:rPr>
        <w:t>（二）项目过程情况</w:t>
      </w:r>
    </w:p>
    <w:p w14:paraId="2F1ABDEB">
      <w:pPr>
        <w:pStyle w:val="11"/>
        <w:spacing w:line="560" w:lineRule="exact"/>
        <w:ind w:firstLine="640"/>
        <w:rPr>
          <w:rFonts w:hint="eastAsia" w:ascii="仿宋" w:hAnsi="仿宋" w:eastAsia="仿宋" w:cs="仿宋"/>
          <w:szCs w:val="32"/>
        </w:rPr>
      </w:pPr>
      <w:r>
        <w:rPr>
          <w:rFonts w:hint="eastAsia" w:ascii="仿宋" w:hAnsi="仿宋" w:eastAsia="仿宋" w:cs="仿宋"/>
          <w:szCs w:val="32"/>
        </w:rPr>
        <w:t>1.资金管理</w:t>
      </w:r>
    </w:p>
    <w:p w14:paraId="2FF4B0B2">
      <w:pPr>
        <w:pStyle w:val="11"/>
        <w:spacing w:line="560" w:lineRule="exact"/>
        <w:ind w:firstLine="640"/>
        <w:rPr>
          <w:rFonts w:ascii="Times New Roman" w:hAnsi="Times New Roman"/>
          <w:szCs w:val="32"/>
        </w:rPr>
      </w:pPr>
      <w:r>
        <w:rPr>
          <w:rFonts w:hint="eastAsia" w:ascii="Times New Roman" w:hAnsi="Times New Roman"/>
          <w:szCs w:val="32"/>
        </w:rPr>
        <w:t>项目资金管理整体表现良好，预算控制严格，未出现超支情况。资金分配合理，满足了项目各阶段的需求，确保了资金使用的合规性。</w:t>
      </w:r>
    </w:p>
    <w:p w14:paraId="592B6BB6">
      <w:pPr>
        <w:pStyle w:val="11"/>
        <w:spacing w:line="560" w:lineRule="exact"/>
        <w:ind w:firstLine="640"/>
        <w:rPr>
          <w:rFonts w:hint="eastAsia" w:ascii="仿宋" w:hAnsi="仿宋" w:eastAsia="仿宋" w:cs="仿宋"/>
          <w:szCs w:val="32"/>
        </w:rPr>
      </w:pPr>
      <w:r>
        <w:rPr>
          <w:rFonts w:hint="eastAsia" w:ascii="仿宋" w:hAnsi="仿宋" w:eastAsia="仿宋" w:cs="仿宋"/>
          <w:szCs w:val="32"/>
        </w:rPr>
        <w:t>2.项目实施</w:t>
      </w:r>
    </w:p>
    <w:p w14:paraId="71D01728">
      <w:pPr>
        <w:pStyle w:val="11"/>
        <w:spacing w:line="560" w:lineRule="exact"/>
        <w:ind w:firstLine="640"/>
      </w:pPr>
      <w:r>
        <w:rPr>
          <w:rFonts w:hint="eastAsia"/>
        </w:rPr>
        <w:t>项目实施过程中，进度管理得当，大部分活动按计划进行。质量管理严格，项目成果符合预定标准。资源配置合理，有效支持了项目的顺利实施。沟通协调顺畅，变更管理及时有效，确保了项目目标的实现。</w:t>
      </w:r>
    </w:p>
    <w:p w14:paraId="571544E7">
      <w:pPr>
        <w:spacing w:line="560" w:lineRule="exact"/>
        <w:ind w:firstLine="640" w:firstLineChars="200"/>
        <w:rPr>
          <w:rFonts w:eastAsia="黑体"/>
          <w:sz w:val="32"/>
          <w:szCs w:val="32"/>
        </w:rPr>
      </w:pPr>
      <w:r>
        <w:rPr>
          <w:rFonts w:hint="eastAsia" w:eastAsia="黑体"/>
          <w:sz w:val="32"/>
          <w:szCs w:val="32"/>
        </w:rPr>
        <w:t>（三）项目产出情况</w:t>
      </w:r>
    </w:p>
    <w:p w14:paraId="660136FF">
      <w:pPr>
        <w:pStyle w:val="11"/>
        <w:spacing w:line="560" w:lineRule="exact"/>
        <w:ind w:firstLine="640"/>
        <w:rPr>
          <w:rFonts w:hint="eastAsia" w:ascii="仿宋" w:hAnsi="仿宋" w:eastAsia="仿宋" w:cs="仿宋"/>
          <w:szCs w:val="32"/>
        </w:rPr>
      </w:pPr>
      <w:r>
        <w:rPr>
          <w:rFonts w:hint="eastAsia" w:ascii="仿宋" w:hAnsi="仿宋" w:eastAsia="仿宋" w:cs="仿宋"/>
          <w:szCs w:val="32"/>
        </w:rPr>
        <w:t>1.产出数量</w:t>
      </w:r>
    </w:p>
    <w:p w14:paraId="57A7AFC0">
      <w:pPr>
        <w:pStyle w:val="11"/>
        <w:spacing w:line="560" w:lineRule="exact"/>
        <w:ind w:firstLine="640"/>
        <w:rPr>
          <w:rFonts w:ascii="Times New Roman" w:hAnsi="Times New Roman"/>
          <w:szCs w:val="32"/>
        </w:rPr>
      </w:pPr>
      <w:r>
        <w:rPr>
          <w:rFonts w:hint="eastAsia" w:ascii="Times New Roman" w:hAnsi="Times New Roman"/>
          <w:szCs w:val="32"/>
        </w:rPr>
        <w:t>本项目在数量上达到了预定目标，共发放一次性求职创业补贴301人，符合项目初期设定的目标。</w:t>
      </w:r>
    </w:p>
    <w:p w14:paraId="570E2DCB">
      <w:pPr>
        <w:pStyle w:val="11"/>
        <w:spacing w:line="560" w:lineRule="exact"/>
        <w:ind w:firstLine="640"/>
        <w:rPr>
          <w:rFonts w:hint="eastAsia" w:ascii="仿宋" w:hAnsi="仿宋" w:eastAsia="仿宋" w:cs="仿宋"/>
          <w:szCs w:val="32"/>
        </w:rPr>
      </w:pPr>
      <w:r>
        <w:rPr>
          <w:rFonts w:hint="eastAsia" w:ascii="仿宋" w:hAnsi="仿宋" w:eastAsia="仿宋" w:cs="仿宋"/>
          <w:szCs w:val="32"/>
        </w:rPr>
        <w:t>2.产出质量</w:t>
      </w:r>
    </w:p>
    <w:p w14:paraId="6F5295F9">
      <w:pPr>
        <w:pStyle w:val="11"/>
        <w:spacing w:line="560" w:lineRule="exact"/>
        <w:ind w:firstLine="640"/>
        <w:rPr>
          <w:rFonts w:ascii="Times New Roman" w:hAnsi="Times New Roman"/>
          <w:szCs w:val="32"/>
        </w:rPr>
      </w:pPr>
      <w:r>
        <w:rPr>
          <w:rFonts w:hint="eastAsia" w:ascii="Times New Roman" w:hAnsi="Times New Roman"/>
          <w:szCs w:val="32"/>
        </w:rPr>
        <w:t>毕业生就业率大于90%，达到91.48%，符合项目初期设定的目标。</w:t>
      </w:r>
    </w:p>
    <w:p w14:paraId="4B62476E">
      <w:pPr>
        <w:pStyle w:val="11"/>
        <w:spacing w:line="560" w:lineRule="exact"/>
        <w:ind w:firstLine="640"/>
        <w:rPr>
          <w:rFonts w:hint="eastAsia" w:ascii="仿宋" w:hAnsi="仿宋" w:eastAsia="仿宋" w:cs="仿宋"/>
          <w:szCs w:val="32"/>
        </w:rPr>
      </w:pPr>
      <w:r>
        <w:rPr>
          <w:rFonts w:hint="eastAsia" w:ascii="仿宋" w:hAnsi="仿宋" w:eastAsia="仿宋" w:cs="仿宋"/>
          <w:szCs w:val="32"/>
        </w:rPr>
        <w:t>3.产出成本</w:t>
      </w:r>
    </w:p>
    <w:p w14:paraId="145B2393">
      <w:pPr>
        <w:pStyle w:val="11"/>
        <w:spacing w:line="560" w:lineRule="exact"/>
        <w:ind w:firstLine="640"/>
      </w:pPr>
      <w:r>
        <w:rPr>
          <w:rFonts w:hint="eastAsia"/>
        </w:rPr>
        <w:t>项目产出的总成本控制在预算范围内，发放金额等于拨付金额，资</w:t>
      </w:r>
      <w:r>
        <w:rPr>
          <w:rFonts w:hint="eastAsia" w:ascii="Times New Roman" w:hAnsi="Times New Roman"/>
          <w:szCs w:val="32"/>
        </w:rPr>
        <w:t>金使用率100%。</w:t>
      </w:r>
    </w:p>
    <w:p w14:paraId="0770855D">
      <w:pPr>
        <w:pStyle w:val="11"/>
        <w:spacing w:line="560" w:lineRule="exact"/>
        <w:ind w:firstLine="640"/>
        <w:rPr>
          <w:rFonts w:hint="eastAsia" w:ascii="仿宋" w:hAnsi="仿宋" w:eastAsia="仿宋" w:cs="仿宋"/>
          <w:szCs w:val="32"/>
        </w:rPr>
      </w:pPr>
      <w:r>
        <w:rPr>
          <w:rFonts w:hint="eastAsia" w:ascii="仿宋" w:hAnsi="仿宋" w:eastAsia="仿宋" w:cs="仿宋"/>
          <w:szCs w:val="32"/>
        </w:rPr>
        <w:t>4.产出时效</w:t>
      </w:r>
    </w:p>
    <w:p w14:paraId="02B8F4CA">
      <w:pPr>
        <w:pStyle w:val="11"/>
        <w:spacing w:line="560" w:lineRule="exact"/>
        <w:ind w:firstLine="640"/>
      </w:pPr>
      <w:r>
        <w:rPr>
          <w:rFonts w:hint="eastAsia"/>
        </w:rPr>
        <w:t>项目产出的时效性表现良好，资金在</w:t>
      </w:r>
      <w:r>
        <w:rPr>
          <w:rFonts w:hint="eastAsia" w:ascii="Times New Roman" w:hAnsi="Times New Roman"/>
          <w:szCs w:val="32"/>
        </w:rPr>
        <w:t>2023</w:t>
      </w:r>
      <w:r>
        <w:rPr>
          <w:rFonts w:hint="eastAsia"/>
        </w:rPr>
        <w:t>年</w:t>
      </w:r>
      <w:r>
        <w:rPr>
          <w:rFonts w:hint="eastAsia" w:ascii="Times New Roman" w:hAnsi="Times New Roman"/>
          <w:szCs w:val="32"/>
        </w:rPr>
        <w:t>11</w:t>
      </w:r>
      <w:r>
        <w:rPr>
          <w:rFonts w:hint="eastAsia"/>
        </w:rPr>
        <w:t>月</w:t>
      </w:r>
      <w:r>
        <w:rPr>
          <w:rFonts w:hint="eastAsia" w:ascii="Times New Roman" w:hAnsi="Times New Roman"/>
          <w:szCs w:val="32"/>
        </w:rPr>
        <w:t>29日</w:t>
      </w:r>
      <w:r>
        <w:rPr>
          <w:rFonts w:hint="eastAsia"/>
        </w:rPr>
        <w:t>拨付到位。</w:t>
      </w:r>
    </w:p>
    <w:p w14:paraId="0C939F1C">
      <w:pPr>
        <w:spacing w:line="560" w:lineRule="exact"/>
        <w:ind w:firstLine="640" w:firstLineChars="200"/>
        <w:rPr>
          <w:rFonts w:eastAsia="黑体"/>
          <w:sz w:val="32"/>
          <w:szCs w:val="32"/>
        </w:rPr>
      </w:pPr>
      <w:r>
        <w:rPr>
          <w:rFonts w:hint="eastAsia" w:eastAsia="黑体"/>
          <w:sz w:val="32"/>
          <w:szCs w:val="32"/>
        </w:rPr>
        <w:t>（四）项目效益情况</w:t>
      </w:r>
    </w:p>
    <w:p w14:paraId="0A5E0796">
      <w:pPr>
        <w:pStyle w:val="11"/>
        <w:ind w:firstLine="640"/>
        <w:rPr>
          <w:rFonts w:hint="eastAsia" w:ascii="仿宋" w:hAnsi="仿宋" w:eastAsia="仿宋" w:cs="宋体"/>
        </w:rPr>
      </w:pPr>
      <w:r>
        <w:rPr>
          <w:rFonts w:hint="eastAsia" w:ascii="仿宋" w:hAnsi="仿宋" w:eastAsia="仿宋" w:cs="宋体"/>
        </w:rPr>
        <w:t>1.经济效益</w:t>
      </w:r>
    </w:p>
    <w:p w14:paraId="5455C7A7">
      <w:pPr>
        <w:pStyle w:val="11"/>
        <w:ind w:firstLine="640"/>
        <w:rPr>
          <w:rFonts w:hint="eastAsia" w:ascii="仿宋" w:hAnsi="仿宋" w:eastAsia="仿宋" w:cs="仿宋"/>
          <w:kern w:val="2"/>
          <w:szCs w:val="32"/>
        </w:rPr>
      </w:pPr>
      <w:r>
        <w:rPr>
          <w:rFonts w:hint="eastAsia" w:ascii="仿宋" w:hAnsi="仿宋" w:eastAsia="仿宋" w:cs="仿宋"/>
          <w:kern w:val="2"/>
          <w:szCs w:val="32"/>
        </w:rPr>
        <w:t>对困难学生申请的求职补助精准到位，应补尽补。</w:t>
      </w:r>
    </w:p>
    <w:p w14:paraId="79D93A6A">
      <w:pPr>
        <w:pStyle w:val="11"/>
        <w:ind w:firstLine="640"/>
        <w:rPr>
          <w:rFonts w:hint="eastAsia" w:ascii="仿宋" w:hAnsi="仿宋" w:eastAsia="仿宋" w:cs="宋体"/>
        </w:rPr>
      </w:pPr>
      <w:r>
        <w:rPr>
          <w:rFonts w:hint="eastAsia" w:ascii="仿宋" w:hAnsi="仿宋" w:eastAsia="仿宋" w:cs="宋体"/>
        </w:rPr>
        <w:t>2．社会效益</w:t>
      </w:r>
    </w:p>
    <w:p w14:paraId="1DA2F22A">
      <w:pPr>
        <w:tabs>
          <w:tab w:val="left" w:pos="4973"/>
        </w:tabs>
        <w:spacing w:line="360" w:lineRule="auto"/>
        <w:ind w:firstLine="640" w:firstLineChars="200"/>
        <w:rPr>
          <w:rFonts w:hint="eastAsia" w:ascii="仿宋" w:hAnsi="仿宋" w:eastAsia="仿宋" w:cs="Times New Roman"/>
          <w:color w:val="333333"/>
          <w:kern w:val="0"/>
          <w:sz w:val="32"/>
          <w:szCs w:val="32"/>
        </w:rPr>
      </w:pPr>
      <w:r>
        <w:rPr>
          <w:rFonts w:hint="eastAsia" w:ascii="仿宋" w:hAnsi="仿宋" w:eastAsia="仿宋" w:cs="Times New Roman"/>
          <w:color w:val="333333"/>
          <w:kern w:val="0"/>
          <w:sz w:val="32"/>
          <w:szCs w:val="32"/>
        </w:rPr>
        <w:t>发放求职补贴是一项有效促进毕业生就业创业的实际措施，良好地促进学生高质量就业创业，具有良好的社会效益。</w:t>
      </w:r>
    </w:p>
    <w:p w14:paraId="0F310044">
      <w:pPr>
        <w:pStyle w:val="11"/>
        <w:ind w:firstLine="640"/>
        <w:rPr>
          <w:rFonts w:hint="eastAsia" w:ascii="仿宋" w:hAnsi="仿宋" w:eastAsia="仿宋" w:cs="宋体"/>
        </w:rPr>
      </w:pPr>
      <w:r>
        <w:rPr>
          <w:rFonts w:hint="eastAsia" w:ascii="仿宋" w:hAnsi="仿宋" w:eastAsia="仿宋" w:cs="宋体"/>
        </w:rPr>
        <w:t>3.生态效益</w:t>
      </w:r>
    </w:p>
    <w:p w14:paraId="65E3DD5C">
      <w:pPr>
        <w:tabs>
          <w:tab w:val="left" w:pos="4973"/>
        </w:tabs>
        <w:spacing w:line="360" w:lineRule="auto"/>
        <w:ind w:firstLine="640" w:firstLineChars="200"/>
        <w:rPr>
          <w:sz w:val="32"/>
          <w:szCs w:val="32"/>
        </w:rPr>
      </w:pPr>
      <w:r>
        <w:rPr>
          <w:rFonts w:hint="eastAsia" w:ascii="仿宋" w:hAnsi="仿宋" w:eastAsia="仿宋"/>
          <w:color w:val="333333"/>
          <w:kern w:val="0"/>
          <w:sz w:val="32"/>
          <w:szCs w:val="32"/>
        </w:rPr>
        <w:t>不适用。</w:t>
      </w:r>
      <w:r>
        <w:rPr>
          <w:sz w:val="32"/>
          <w:szCs w:val="32"/>
        </w:rPr>
        <w:tab/>
      </w:r>
    </w:p>
    <w:p w14:paraId="71AFF626">
      <w:pPr>
        <w:pStyle w:val="11"/>
        <w:ind w:firstLine="640"/>
        <w:rPr>
          <w:rFonts w:hint="eastAsia" w:ascii="仿宋" w:hAnsi="仿宋" w:eastAsia="仿宋" w:cs="宋体"/>
        </w:rPr>
      </w:pPr>
      <w:r>
        <w:rPr>
          <w:rFonts w:hint="eastAsia" w:ascii="仿宋" w:hAnsi="仿宋" w:eastAsia="仿宋" w:cs="宋体"/>
        </w:rPr>
        <w:t>4.可持续影响</w:t>
      </w:r>
    </w:p>
    <w:p w14:paraId="50E9BE0D">
      <w:pPr>
        <w:pStyle w:val="11"/>
        <w:ind w:firstLine="640"/>
        <w:rPr>
          <w:rFonts w:hint="eastAsia" w:ascii="仿宋" w:hAnsi="仿宋" w:eastAsia="仿宋" w:cs="黑体"/>
          <w:color w:val="333333"/>
          <w:szCs w:val="32"/>
        </w:rPr>
      </w:pPr>
      <w:r>
        <w:rPr>
          <w:rFonts w:hint="eastAsia" w:ascii="仿宋" w:hAnsi="仿宋" w:eastAsia="仿宋" w:cs="黑体"/>
          <w:color w:val="333333"/>
          <w:szCs w:val="32"/>
        </w:rPr>
        <w:t>通过发放一次性求职创业补贴，鼓励帮助应届毕业生就业创业，营造良好的就业创业环境，推动就业工作显著发展。</w:t>
      </w:r>
    </w:p>
    <w:p w14:paraId="6BAE1E32">
      <w:pPr>
        <w:pStyle w:val="11"/>
        <w:ind w:firstLine="640"/>
        <w:rPr>
          <w:rFonts w:hint="eastAsia" w:ascii="仿宋" w:hAnsi="仿宋" w:eastAsia="仿宋" w:cs="宋体"/>
        </w:rPr>
      </w:pPr>
      <w:r>
        <w:rPr>
          <w:rFonts w:hint="eastAsia" w:ascii="仿宋" w:hAnsi="仿宋" w:eastAsia="仿宋" w:cs="宋体"/>
        </w:rPr>
        <w:t>5.满意度情况</w:t>
      </w:r>
    </w:p>
    <w:p w14:paraId="11D66090">
      <w:pPr>
        <w:pStyle w:val="13"/>
        <w:spacing w:line="360" w:lineRule="auto"/>
        <w:ind w:left="420" w:firstLine="320" w:firstLineChars="100"/>
        <w:rPr>
          <w:rFonts w:ascii="Tahoma" w:hAnsi="Tahoma" w:eastAsia="仿宋_GB2312" w:cs="Times New Roman"/>
          <w:kern w:val="0"/>
          <w:sz w:val="32"/>
        </w:rPr>
      </w:pPr>
      <w:r>
        <w:rPr>
          <w:rFonts w:hint="eastAsia" w:ascii="仿宋" w:hAnsi="仿宋" w:eastAsia="仿宋"/>
          <w:color w:val="333333"/>
          <w:kern w:val="0"/>
          <w:sz w:val="32"/>
          <w:szCs w:val="32"/>
        </w:rPr>
        <w:t>学生满意度为100%，显示学生对项目成果的高度认可。</w:t>
      </w:r>
    </w:p>
    <w:p w14:paraId="70EDA152">
      <w:pPr>
        <w:spacing w:line="560" w:lineRule="exact"/>
        <w:ind w:firstLine="640" w:firstLineChars="200"/>
        <w:rPr>
          <w:rFonts w:eastAsia="黑体"/>
          <w:sz w:val="32"/>
          <w:szCs w:val="32"/>
        </w:rPr>
      </w:pPr>
      <w:r>
        <w:rPr>
          <w:rFonts w:hint="eastAsia" w:eastAsia="黑体"/>
          <w:sz w:val="32"/>
          <w:szCs w:val="32"/>
        </w:rPr>
        <w:t>五、项目主要经验、存在的问题及建议</w:t>
      </w:r>
    </w:p>
    <w:p w14:paraId="6752AE4D">
      <w:pPr>
        <w:spacing w:line="560" w:lineRule="exact"/>
        <w:ind w:firstLine="640" w:firstLineChars="200"/>
        <w:rPr>
          <w:rFonts w:eastAsia="黑体"/>
          <w:sz w:val="32"/>
          <w:szCs w:val="32"/>
        </w:rPr>
      </w:pPr>
      <w:r>
        <w:rPr>
          <w:rFonts w:hint="eastAsia" w:eastAsia="黑体"/>
          <w:sz w:val="32"/>
          <w:szCs w:val="32"/>
        </w:rPr>
        <w:t>（一）项目主要经验及做法</w:t>
      </w:r>
    </w:p>
    <w:p w14:paraId="69F5AA98">
      <w:pPr>
        <w:adjustRightInd w:val="0"/>
        <w:snapToGrid w:val="0"/>
        <w:spacing w:line="560" w:lineRule="exact"/>
        <w:ind w:firstLine="643" w:firstLineChars="200"/>
        <w:rPr>
          <w:rFonts w:ascii="Times New Roman" w:hAnsi="Times New Roman" w:eastAsia="仿宋" w:cs="Times New Roman"/>
          <w:sz w:val="32"/>
          <w:szCs w:val="32"/>
        </w:rPr>
      </w:pPr>
      <w:r>
        <w:rPr>
          <w:rFonts w:hint="eastAsia" w:ascii="Times New Roman" w:hAnsi="Times New Roman" w:eastAsia="仿宋" w:cs="Times New Roman"/>
          <w:b/>
          <w:bCs/>
          <w:sz w:val="32"/>
          <w:szCs w:val="32"/>
        </w:rPr>
        <w:t>明确工作责任。</w:t>
      </w:r>
      <w:r>
        <w:rPr>
          <w:rFonts w:hint="eastAsia" w:ascii="Times New Roman" w:hAnsi="Times New Roman" w:eastAsia="仿宋" w:cs="Times New Roman"/>
          <w:sz w:val="32"/>
          <w:szCs w:val="32"/>
        </w:rPr>
        <w:t>学校是应届毕业生求职创业补贴发放工作的第一责任人，要对发放对象家庭情况的真实性负责，严格审核申报材料，将补贴资金按时拨付至发放对象的个人银行账户</w:t>
      </w:r>
    </w:p>
    <w:p w14:paraId="109E7545">
      <w:pPr>
        <w:adjustRightInd w:val="0"/>
        <w:snapToGrid w:val="0"/>
        <w:spacing w:line="560" w:lineRule="exact"/>
        <w:ind w:firstLine="643" w:firstLineChars="200"/>
        <w:rPr>
          <w:rFonts w:ascii="Times New Roman" w:hAnsi="Times New Roman" w:eastAsia="仿宋" w:cs="Times New Roman"/>
          <w:sz w:val="32"/>
          <w:szCs w:val="32"/>
        </w:rPr>
      </w:pPr>
      <w:r>
        <w:rPr>
          <w:rFonts w:hint="eastAsia" w:ascii="Times New Roman" w:hAnsi="Times New Roman" w:eastAsia="仿宋" w:cs="Times New Roman"/>
          <w:b/>
          <w:bCs/>
          <w:sz w:val="32"/>
          <w:szCs w:val="32"/>
        </w:rPr>
        <w:t>加强宣传引导。</w:t>
      </w:r>
      <w:r>
        <w:rPr>
          <w:rFonts w:hint="eastAsia" w:ascii="Times New Roman" w:hAnsi="Times New Roman" w:eastAsia="仿宋" w:cs="Times New Roman"/>
          <w:sz w:val="32"/>
          <w:szCs w:val="32"/>
        </w:rPr>
        <w:t>要加强政策宣传，通过宣传海报、政策宣讲等方式，宣传应届毕业生求职创业补贴政策，力争让求职创业补贴政策应知尽知，让符合条件的毕业生应享尽享资源优化。合理分配和利用项目资源，包括人力、财力和物力。</w:t>
      </w:r>
    </w:p>
    <w:p w14:paraId="2A0588B2">
      <w:pPr>
        <w:adjustRightInd w:val="0"/>
        <w:snapToGrid w:val="0"/>
        <w:spacing w:line="560" w:lineRule="exact"/>
        <w:ind w:firstLine="643" w:firstLineChars="200"/>
        <w:rPr>
          <w:rFonts w:ascii="Times New Roman" w:hAnsi="Times New Roman" w:eastAsia="仿宋" w:cs="Times New Roman"/>
          <w:sz w:val="32"/>
          <w:szCs w:val="32"/>
        </w:rPr>
      </w:pPr>
      <w:r>
        <w:rPr>
          <w:rFonts w:hint="eastAsia" w:ascii="Times New Roman" w:hAnsi="Times New Roman" w:eastAsia="仿宋" w:cs="Times New Roman"/>
          <w:b/>
          <w:bCs/>
          <w:sz w:val="32"/>
          <w:szCs w:val="32"/>
        </w:rPr>
        <w:t>严格资金管理。</w:t>
      </w:r>
      <w:r>
        <w:rPr>
          <w:rFonts w:hint="eastAsia" w:ascii="Times New Roman" w:hAnsi="Times New Roman" w:eastAsia="仿宋" w:cs="Times New Roman"/>
          <w:sz w:val="32"/>
          <w:szCs w:val="32"/>
        </w:rPr>
        <w:t>一次性求职创业补贴只能按照规定的补贴对象进行发放，不得擅自扩大范围、私自截留、虚假冒领、改变资金使用方向。</w:t>
      </w:r>
    </w:p>
    <w:p w14:paraId="3159EA15">
      <w:pPr>
        <w:spacing w:line="560" w:lineRule="exact"/>
        <w:ind w:firstLine="640" w:firstLineChars="200"/>
        <w:rPr>
          <w:rFonts w:eastAsia="黑体"/>
          <w:sz w:val="32"/>
          <w:szCs w:val="32"/>
        </w:rPr>
      </w:pPr>
      <w:r>
        <w:rPr>
          <w:rFonts w:hint="eastAsia" w:eastAsia="黑体"/>
          <w:sz w:val="32"/>
          <w:szCs w:val="32"/>
        </w:rPr>
        <w:t>（二）存在的问题</w:t>
      </w:r>
    </w:p>
    <w:p w14:paraId="6176042A">
      <w:pPr>
        <w:adjustRightInd w:val="0"/>
        <w:snapToGrid w:val="0"/>
        <w:spacing w:line="560" w:lineRule="exact"/>
        <w:ind w:firstLine="640" w:firstLineChars="200"/>
        <w:rPr>
          <w:rFonts w:ascii="Tahoma" w:hAnsi="Tahoma" w:eastAsia="仿宋_GB2312" w:cs="Times New Roman"/>
          <w:kern w:val="0"/>
          <w:sz w:val="32"/>
        </w:rPr>
      </w:pPr>
      <w:r>
        <w:rPr>
          <w:rFonts w:hint="eastAsia" w:ascii="Tahoma" w:hAnsi="Tahoma" w:eastAsia="仿宋_GB2312" w:cs="Times New Roman"/>
          <w:kern w:val="0"/>
          <w:sz w:val="32"/>
        </w:rPr>
        <w:t>无。</w:t>
      </w:r>
    </w:p>
    <w:p w14:paraId="078AA59D">
      <w:pPr>
        <w:spacing w:line="560" w:lineRule="exact"/>
        <w:ind w:firstLine="640" w:firstLineChars="200"/>
        <w:rPr>
          <w:rFonts w:eastAsia="黑体"/>
          <w:sz w:val="32"/>
          <w:szCs w:val="32"/>
        </w:rPr>
      </w:pPr>
      <w:r>
        <w:rPr>
          <w:rFonts w:hint="eastAsia" w:eastAsia="黑体"/>
          <w:sz w:val="32"/>
          <w:szCs w:val="32"/>
        </w:rPr>
        <w:t>（三）有关建议</w:t>
      </w:r>
    </w:p>
    <w:p w14:paraId="6D003027">
      <w:pPr>
        <w:adjustRightInd w:val="0"/>
        <w:snapToGrid w:val="0"/>
        <w:spacing w:line="56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无。</w:t>
      </w:r>
    </w:p>
    <w:p w14:paraId="3B444A3E">
      <w:pPr>
        <w:pStyle w:val="11"/>
        <w:spacing w:line="560" w:lineRule="exact"/>
        <w:ind w:firstLine="640"/>
        <w:rPr>
          <w:rFonts w:hint="eastAsia" w:asciiTheme="majorEastAsia" w:hAnsiTheme="majorEastAsia" w:eastAsiaTheme="majorEastAsia"/>
          <w:kern w:val="2"/>
          <w:szCs w:val="32"/>
        </w:rPr>
      </w:pPr>
      <w:r>
        <w:rPr>
          <w:rFonts w:hint="eastAsia" w:asciiTheme="majorEastAsia" w:hAnsiTheme="majorEastAsia" w:eastAsiaTheme="majorEastAsia"/>
          <w:kern w:val="2"/>
          <w:szCs w:val="32"/>
        </w:rPr>
        <w:t>附件1.项目支出绩效自评表（一个项目支出一张表）</w:t>
      </w:r>
    </w:p>
    <w:p w14:paraId="45E112F3"/>
    <w:p w14:paraId="1DDB2698"/>
    <w:p w14:paraId="50964E39"/>
    <w:p w14:paraId="279046B0"/>
    <w:p w14:paraId="1685299C"/>
    <w:p w14:paraId="67A470B7"/>
    <w:p w14:paraId="4D099582"/>
    <w:p w14:paraId="7DAB3391"/>
    <w:p w14:paraId="3C20DEFC"/>
    <w:p w14:paraId="1B27E2A6"/>
    <w:p w14:paraId="6FA22E3F"/>
    <w:p w14:paraId="7849F18E"/>
    <w:p w14:paraId="633E510F"/>
    <w:p w14:paraId="0CED1510"/>
    <w:p w14:paraId="07E4CF91"/>
    <w:p w14:paraId="22933027"/>
    <w:p w14:paraId="55B20A81"/>
    <w:p w14:paraId="6D009940"/>
    <w:p w14:paraId="77335207"/>
    <w:p w14:paraId="2B2C6E61"/>
    <w:p w14:paraId="456EF83F"/>
    <w:p w14:paraId="392BBA1E"/>
    <w:p w14:paraId="716471EA"/>
    <w:p w14:paraId="17B1E4F6"/>
    <w:p w14:paraId="66D2FE81"/>
    <w:p w14:paraId="440C1ED3"/>
    <w:p w14:paraId="554AFEBF"/>
    <w:p w14:paraId="7AC5ABBF"/>
    <w:p w14:paraId="0CD640A4"/>
    <w:p w14:paraId="04BDF1AE"/>
    <w:p w14:paraId="7CCA3771"/>
    <w:p w14:paraId="34F03003"/>
    <w:p w14:paraId="1D4FBCC1"/>
    <w:p w14:paraId="4F5C2DD5"/>
    <w:p w14:paraId="11234584"/>
    <w:p w14:paraId="438315FA"/>
    <w:p w14:paraId="65C58891"/>
    <w:p w14:paraId="177F53CF">
      <w:pPr>
        <w:pStyle w:val="5"/>
        <w:widowControl/>
        <w:shd w:val="clear" w:color="auto" w:fill="FFFFFF"/>
        <w:spacing w:beforeAutospacing="0" w:afterAutospacing="0" w:line="480" w:lineRule="atLeast"/>
        <w:jc w:val="both"/>
        <w:rPr>
          <w:rFonts w:hint="eastAsia" w:cs="方正小标宋_GBK" w:asciiTheme="majorEastAsia" w:hAnsiTheme="majorEastAsia" w:eastAsiaTheme="majorEastAsia"/>
          <w:color w:val="000000"/>
          <w:sz w:val="28"/>
          <w:szCs w:val="28"/>
          <w:shd w:val="clear" w:color="auto" w:fill="FFFFFF"/>
        </w:rPr>
      </w:pPr>
      <w:r>
        <w:rPr>
          <w:rFonts w:hint="eastAsia" w:cs="方正小标宋_GBK" w:asciiTheme="majorEastAsia" w:hAnsiTheme="majorEastAsia" w:eastAsiaTheme="majorEastAsia"/>
          <w:color w:val="000000"/>
          <w:sz w:val="28"/>
          <w:szCs w:val="28"/>
          <w:shd w:val="clear" w:color="auto" w:fill="FFFFFF"/>
        </w:rPr>
        <w:t>附件1</w:t>
      </w:r>
    </w:p>
    <w:p w14:paraId="0ABEDABC">
      <w:pPr>
        <w:widowControl/>
        <w:tabs>
          <w:tab w:val="left" w:pos="3611"/>
          <w:tab w:val="left" w:pos="4791"/>
          <w:tab w:val="left" w:pos="5951"/>
          <w:tab w:val="left" w:pos="7071"/>
          <w:tab w:val="left" w:pos="8191"/>
          <w:tab w:val="left" w:pos="9311"/>
        </w:tabs>
        <w:snapToGrid w:val="0"/>
        <w:spacing w:line="440" w:lineRule="atLeast"/>
        <w:jc w:val="center"/>
        <w:rPr>
          <w:rFonts w:hint="eastAsia" w:ascii="方正小标宋_GBK" w:hAnsi="方正小标宋_GBK" w:eastAsia="方正小标宋_GBK" w:cs="方正小标宋_GBK"/>
          <w:color w:val="000000"/>
          <w:kern w:val="0"/>
          <w:sz w:val="28"/>
          <w:szCs w:val="28"/>
          <w:shd w:val="clear" w:color="auto" w:fill="FFFFFF"/>
          <w:lang w:bidi="ar"/>
        </w:rPr>
      </w:pPr>
      <w:r>
        <w:rPr>
          <w:rFonts w:hint="eastAsia" w:ascii="方正小标宋_GBK" w:hAnsi="方正小标宋_GBK" w:eastAsia="方正小标宋_GBK" w:cs="方正小标宋_GBK"/>
          <w:color w:val="000000"/>
          <w:kern w:val="0"/>
          <w:sz w:val="28"/>
          <w:szCs w:val="28"/>
          <w:shd w:val="clear" w:color="auto" w:fill="FFFFFF"/>
          <w:lang w:bidi="ar"/>
        </w:rPr>
        <w:t>项目支出绩效自评表</w:t>
      </w:r>
    </w:p>
    <w:tbl>
      <w:tblPr>
        <w:tblStyle w:val="6"/>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3"/>
        <w:gridCol w:w="1083"/>
        <w:gridCol w:w="1083"/>
        <w:gridCol w:w="1152"/>
        <w:gridCol w:w="1213"/>
        <w:gridCol w:w="1137"/>
        <w:gridCol w:w="830"/>
        <w:gridCol w:w="875"/>
        <w:gridCol w:w="1423"/>
      </w:tblGrid>
      <w:tr w14:paraId="00CF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83" w:type="dxa"/>
            <w:vAlign w:val="center"/>
          </w:tcPr>
          <w:p w14:paraId="56DA0A0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05C097E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96" w:type="dxa"/>
            <w:gridSpan w:val="8"/>
            <w:vAlign w:val="center"/>
          </w:tcPr>
          <w:p w14:paraId="4891149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2023年度</w:t>
            </w:r>
            <w:r>
              <w:rPr>
                <w:rFonts w:hint="eastAsia" w:ascii="仿宋" w:hAnsi="仿宋" w:eastAsia="仿宋" w:cs="仿宋"/>
                <w:color w:val="000000"/>
                <w:kern w:val="0"/>
                <w:sz w:val="20"/>
                <w:szCs w:val="20"/>
              </w:rPr>
              <w:t>求职创业补贴</w:t>
            </w:r>
          </w:p>
        </w:tc>
      </w:tr>
      <w:tr w14:paraId="4EB9D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83" w:type="dxa"/>
            <w:vAlign w:val="center"/>
          </w:tcPr>
          <w:p w14:paraId="468CD457">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31" w:type="dxa"/>
            <w:gridSpan w:val="4"/>
            <w:vAlign w:val="center"/>
          </w:tcPr>
          <w:p w14:paraId="23BAE5F3">
            <w:pPr>
              <w:widowControl/>
              <w:spacing w:line="280" w:lineRule="exact"/>
              <w:jc w:val="center"/>
              <w:rPr>
                <w:rFonts w:hint="eastAsia" w:ascii="仿宋" w:hAnsi="仿宋" w:eastAsia="仿宋" w:cs="仿宋"/>
                <w:color w:val="000000"/>
                <w:kern w:val="0"/>
                <w:sz w:val="20"/>
                <w:szCs w:val="20"/>
              </w:rPr>
            </w:pPr>
          </w:p>
        </w:tc>
        <w:tc>
          <w:tcPr>
            <w:tcW w:w="1137" w:type="dxa"/>
            <w:vAlign w:val="center"/>
          </w:tcPr>
          <w:p w14:paraId="5414602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28" w:type="dxa"/>
            <w:gridSpan w:val="3"/>
            <w:vAlign w:val="center"/>
          </w:tcPr>
          <w:p w14:paraId="2CB8F5C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怀化职业技术学院</w:t>
            </w:r>
          </w:p>
        </w:tc>
      </w:tr>
      <w:tr w14:paraId="0E0B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83" w:type="dxa"/>
            <w:vMerge w:val="restart"/>
            <w:vAlign w:val="center"/>
          </w:tcPr>
          <w:p w14:paraId="4A553C6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p>
          <w:p w14:paraId="42FB6ED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（万元）</w:t>
            </w:r>
          </w:p>
        </w:tc>
        <w:tc>
          <w:tcPr>
            <w:tcW w:w="2166" w:type="dxa"/>
            <w:gridSpan w:val="2"/>
            <w:vAlign w:val="center"/>
          </w:tcPr>
          <w:p w14:paraId="42D93BFA">
            <w:pPr>
              <w:widowControl/>
              <w:spacing w:line="280" w:lineRule="exact"/>
              <w:jc w:val="left"/>
              <w:rPr>
                <w:rFonts w:hint="eastAsia" w:ascii="仿宋" w:hAnsi="仿宋" w:eastAsia="仿宋" w:cs="仿宋"/>
                <w:color w:val="000000"/>
                <w:kern w:val="0"/>
                <w:sz w:val="20"/>
                <w:szCs w:val="20"/>
              </w:rPr>
            </w:pPr>
          </w:p>
        </w:tc>
        <w:tc>
          <w:tcPr>
            <w:tcW w:w="1152" w:type="dxa"/>
            <w:vAlign w:val="center"/>
          </w:tcPr>
          <w:p w14:paraId="22DEACE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539CE86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13" w:type="dxa"/>
            <w:vAlign w:val="center"/>
          </w:tcPr>
          <w:p w14:paraId="458C64E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3607AF3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137" w:type="dxa"/>
            <w:vAlign w:val="center"/>
          </w:tcPr>
          <w:p w14:paraId="5FD9746C">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全年</w:t>
            </w:r>
          </w:p>
          <w:p w14:paraId="345429DA">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执行数</w:t>
            </w:r>
          </w:p>
        </w:tc>
        <w:tc>
          <w:tcPr>
            <w:tcW w:w="830" w:type="dxa"/>
            <w:vAlign w:val="center"/>
          </w:tcPr>
          <w:p w14:paraId="1BD66923">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分值</w:t>
            </w:r>
          </w:p>
        </w:tc>
        <w:tc>
          <w:tcPr>
            <w:tcW w:w="875" w:type="dxa"/>
            <w:vAlign w:val="center"/>
          </w:tcPr>
          <w:p w14:paraId="0B8C2E7F">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执行率</w:t>
            </w:r>
          </w:p>
        </w:tc>
        <w:tc>
          <w:tcPr>
            <w:tcW w:w="1423" w:type="dxa"/>
            <w:vAlign w:val="center"/>
          </w:tcPr>
          <w:p w14:paraId="1BE07C41">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得分</w:t>
            </w:r>
          </w:p>
        </w:tc>
      </w:tr>
      <w:tr w14:paraId="3C66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6D20669D">
            <w:pPr>
              <w:widowControl/>
              <w:spacing w:line="280" w:lineRule="exact"/>
              <w:jc w:val="left"/>
              <w:rPr>
                <w:rFonts w:hint="eastAsia" w:ascii="仿宋" w:hAnsi="仿宋" w:eastAsia="仿宋" w:cs="仿宋"/>
                <w:color w:val="000000"/>
                <w:kern w:val="0"/>
                <w:sz w:val="20"/>
                <w:szCs w:val="20"/>
              </w:rPr>
            </w:pPr>
          </w:p>
        </w:tc>
        <w:tc>
          <w:tcPr>
            <w:tcW w:w="2166" w:type="dxa"/>
            <w:gridSpan w:val="2"/>
            <w:vAlign w:val="center"/>
          </w:tcPr>
          <w:p w14:paraId="0F0D9876">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w:t>
            </w:r>
          </w:p>
        </w:tc>
        <w:tc>
          <w:tcPr>
            <w:tcW w:w="1152" w:type="dxa"/>
            <w:vAlign w:val="center"/>
          </w:tcPr>
          <w:p w14:paraId="179EB16C">
            <w:pPr>
              <w:widowControl/>
              <w:spacing w:line="280" w:lineRule="exact"/>
              <w:jc w:val="center"/>
              <w:rPr>
                <w:rFonts w:hint="eastAsia" w:ascii="仿宋" w:hAnsi="仿宋" w:eastAsia="仿宋" w:cs="仿宋"/>
                <w:color w:val="000000"/>
                <w:kern w:val="0"/>
                <w:sz w:val="20"/>
                <w:szCs w:val="20"/>
              </w:rPr>
            </w:pPr>
          </w:p>
        </w:tc>
        <w:tc>
          <w:tcPr>
            <w:tcW w:w="1213" w:type="dxa"/>
            <w:vAlign w:val="center"/>
          </w:tcPr>
          <w:p w14:paraId="3E094BC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70</w:t>
            </w:r>
          </w:p>
        </w:tc>
        <w:tc>
          <w:tcPr>
            <w:tcW w:w="1137" w:type="dxa"/>
            <w:vAlign w:val="center"/>
          </w:tcPr>
          <w:p w14:paraId="05AE1A4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45.15</w:t>
            </w:r>
          </w:p>
        </w:tc>
        <w:tc>
          <w:tcPr>
            <w:tcW w:w="830" w:type="dxa"/>
            <w:vAlign w:val="center"/>
          </w:tcPr>
          <w:p w14:paraId="03337DC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875" w:type="dxa"/>
            <w:vAlign w:val="center"/>
          </w:tcPr>
          <w:p w14:paraId="696CD63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64.5%</w:t>
            </w:r>
          </w:p>
        </w:tc>
        <w:tc>
          <w:tcPr>
            <w:tcW w:w="1423" w:type="dxa"/>
            <w:vAlign w:val="center"/>
          </w:tcPr>
          <w:p w14:paraId="0F61F7A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6.45</w:t>
            </w:r>
          </w:p>
        </w:tc>
      </w:tr>
      <w:tr w14:paraId="59BA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51E2833D">
            <w:pPr>
              <w:widowControl/>
              <w:spacing w:line="280" w:lineRule="exact"/>
              <w:jc w:val="left"/>
              <w:rPr>
                <w:rFonts w:hint="eastAsia" w:ascii="仿宋" w:hAnsi="仿宋" w:eastAsia="仿宋" w:cs="仿宋"/>
                <w:color w:val="000000"/>
                <w:kern w:val="0"/>
                <w:sz w:val="20"/>
                <w:szCs w:val="20"/>
              </w:rPr>
            </w:pPr>
          </w:p>
        </w:tc>
        <w:tc>
          <w:tcPr>
            <w:tcW w:w="2166" w:type="dxa"/>
            <w:gridSpan w:val="2"/>
            <w:vAlign w:val="center"/>
          </w:tcPr>
          <w:p w14:paraId="79D18BE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w:t>
            </w:r>
          </w:p>
        </w:tc>
        <w:tc>
          <w:tcPr>
            <w:tcW w:w="1152" w:type="dxa"/>
            <w:vAlign w:val="center"/>
          </w:tcPr>
          <w:p w14:paraId="76F22251">
            <w:pPr>
              <w:widowControl/>
              <w:spacing w:line="280" w:lineRule="exact"/>
              <w:jc w:val="center"/>
              <w:rPr>
                <w:rFonts w:hint="eastAsia" w:ascii="仿宋" w:hAnsi="仿宋" w:eastAsia="仿宋" w:cs="仿宋"/>
                <w:color w:val="000000"/>
                <w:kern w:val="0"/>
                <w:sz w:val="20"/>
                <w:szCs w:val="20"/>
              </w:rPr>
            </w:pPr>
          </w:p>
        </w:tc>
        <w:tc>
          <w:tcPr>
            <w:tcW w:w="1213" w:type="dxa"/>
            <w:vAlign w:val="center"/>
          </w:tcPr>
          <w:p w14:paraId="421B7D2E">
            <w:pPr>
              <w:widowControl/>
              <w:spacing w:line="280" w:lineRule="exact"/>
              <w:jc w:val="center"/>
              <w:rPr>
                <w:rFonts w:hint="eastAsia" w:ascii="仿宋" w:hAnsi="仿宋" w:eastAsia="仿宋" w:cs="仿宋"/>
                <w:color w:val="000000"/>
                <w:kern w:val="0"/>
                <w:sz w:val="20"/>
                <w:szCs w:val="20"/>
              </w:rPr>
            </w:pPr>
          </w:p>
        </w:tc>
        <w:tc>
          <w:tcPr>
            <w:tcW w:w="1137" w:type="dxa"/>
            <w:vAlign w:val="center"/>
          </w:tcPr>
          <w:p w14:paraId="339E1C03">
            <w:pPr>
              <w:widowControl/>
              <w:spacing w:line="280" w:lineRule="exact"/>
              <w:jc w:val="center"/>
              <w:rPr>
                <w:rFonts w:hint="eastAsia" w:ascii="仿宋" w:hAnsi="仿宋" w:eastAsia="仿宋" w:cs="仿宋"/>
                <w:color w:val="000000"/>
                <w:kern w:val="0"/>
                <w:sz w:val="20"/>
                <w:szCs w:val="20"/>
              </w:rPr>
            </w:pPr>
          </w:p>
        </w:tc>
        <w:tc>
          <w:tcPr>
            <w:tcW w:w="830" w:type="dxa"/>
            <w:vAlign w:val="center"/>
          </w:tcPr>
          <w:p w14:paraId="53A571CF">
            <w:pPr>
              <w:widowControl/>
              <w:spacing w:line="280" w:lineRule="exact"/>
              <w:jc w:val="center"/>
              <w:rPr>
                <w:rFonts w:hint="eastAsia" w:ascii="仿宋" w:hAnsi="仿宋" w:eastAsia="仿宋" w:cs="仿宋"/>
                <w:color w:val="000000"/>
                <w:kern w:val="0"/>
                <w:sz w:val="20"/>
                <w:szCs w:val="20"/>
              </w:rPr>
            </w:pPr>
          </w:p>
        </w:tc>
        <w:tc>
          <w:tcPr>
            <w:tcW w:w="875" w:type="dxa"/>
            <w:vAlign w:val="center"/>
          </w:tcPr>
          <w:p w14:paraId="0D0C006C">
            <w:pPr>
              <w:widowControl/>
              <w:spacing w:line="280" w:lineRule="exact"/>
              <w:jc w:val="center"/>
              <w:rPr>
                <w:rFonts w:hint="eastAsia" w:ascii="仿宋" w:hAnsi="仿宋" w:eastAsia="仿宋" w:cs="仿宋"/>
                <w:color w:val="000000"/>
                <w:kern w:val="0"/>
                <w:sz w:val="20"/>
                <w:szCs w:val="20"/>
              </w:rPr>
            </w:pPr>
          </w:p>
        </w:tc>
        <w:tc>
          <w:tcPr>
            <w:tcW w:w="1423" w:type="dxa"/>
            <w:vAlign w:val="center"/>
          </w:tcPr>
          <w:p w14:paraId="2078EA21">
            <w:pPr>
              <w:widowControl/>
              <w:spacing w:line="280" w:lineRule="exact"/>
              <w:jc w:val="center"/>
              <w:rPr>
                <w:rFonts w:hint="eastAsia" w:ascii="仿宋" w:hAnsi="仿宋" w:eastAsia="仿宋" w:cs="仿宋"/>
                <w:color w:val="000000"/>
                <w:kern w:val="0"/>
                <w:sz w:val="20"/>
                <w:szCs w:val="20"/>
              </w:rPr>
            </w:pPr>
          </w:p>
        </w:tc>
      </w:tr>
      <w:tr w14:paraId="2F80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6D23DEF2">
            <w:pPr>
              <w:widowControl/>
              <w:spacing w:line="280" w:lineRule="exact"/>
              <w:jc w:val="left"/>
              <w:rPr>
                <w:rFonts w:hint="eastAsia" w:ascii="仿宋" w:hAnsi="仿宋" w:eastAsia="仿宋" w:cs="仿宋"/>
                <w:color w:val="000000"/>
                <w:kern w:val="0"/>
                <w:sz w:val="20"/>
                <w:szCs w:val="20"/>
              </w:rPr>
            </w:pPr>
          </w:p>
        </w:tc>
        <w:tc>
          <w:tcPr>
            <w:tcW w:w="2166" w:type="dxa"/>
            <w:gridSpan w:val="2"/>
            <w:vAlign w:val="center"/>
          </w:tcPr>
          <w:p w14:paraId="142CDD3B">
            <w:pPr>
              <w:widowControl/>
              <w:spacing w:line="280" w:lineRule="exact"/>
              <w:ind w:firstLine="600" w:firstLineChars="3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w:t>
            </w:r>
          </w:p>
        </w:tc>
        <w:tc>
          <w:tcPr>
            <w:tcW w:w="1152" w:type="dxa"/>
            <w:vAlign w:val="center"/>
          </w:tcPr>
          <w:p w14:paraId="182FE8E4">
            <w:pPr>
              <w:widowControl/>
              <w:spacing w:line="280" w:lineRule="exact"/>
              <w:jc w:val="center"/>
              <w:rPr>
                <w:rFonts w:hint="eastAsia" w:ascii="仿宋" w:hAnsi="仿宋" w:eastAsia="仿宋" w:cs="仿宋"/>
                <w:color w:val="000000"/>
                <w:kern w:val="0"/>
                <w:sz w:val="20"/>
                <w:szCs w:val="20"/>
              </w:rPr>
            </w:pPr>
          </w:p>
        </w:tc>
        <w:tc>
          <w:tcPr>
            <w:tcW w:w="1213" w:type="dxa"/>
            <w:vAlign w:val="center"/>
          </w:tcPr>
          <w:p w14:paraId="01063F1C">
            <w:pPr>
              <w:widowControl/>
              <w:spacing w:line="280" w:lineRule="exact"/>
              <w:jc w:val="center"/>
              <w:rPr>
                <w:rFonts w:hint="eastAsia" w:ascii="仿宋" w:hAnsi="仿宋" w:eastAsia="仿宋" w:cs="仿宋"/>
                <w:color w:val="000000"/>
                <w:kern w:val="0"/>
                <w:sz w:val="20"/>
                <w:szCs w:val="20"/>
              </w:rPr>
            </w:pPr>
          </w:p>
        </w:tc>
        <w:tc>
          <w:tcPr>
            <w:tcW w:w="1137" w:type="dxa"/>
            <w:vAlign w:val="center"/>
          </w:tcPr>
          <w:p w14:paraId="67AFC533">
            <w:pPr>
              <w:widowControl/>
              <w:spacing w:line="280" w:lineRule="exact"/>
              <w:jc w:val="center"/>
              <w:rPr>
                <w:rFonts w:hint="eastAsia" w:ascii="仿宋" w:hAnsi="仿宋" w:eastAsia="仿宋" w:cs="仿宋"/>
                <w:color w:val="000000"/>
                <w:kern w:val="0"/>
                <w:sz w:val="20"/>
                <w:szCs w:val="20"/>
              </w:rPr>
            </w:pPr>
          </w:p>
        </w:tc>
        <w:tc>
          <w:tcPr>
            <w:tcW w:w="830" w:type="dxa"/>
            <w:vAlign w:val="center"/>
          </w:tcPr>
          <w:p w14:paraId="5D2D1FED">
            <w:pPr>
              <w:widowControl/>
              <w:spacing w:line="280" w:lineRule="exact"/>
              <w:jc w:val="center"/>
              <w:rPr>
                <w:rFonts w:hint="eastAsia" w:ascii="仿宋" w:hAnsi="仿宋" w:eastAsia="仿宋" w:cs="仿宋"/>
                <w:color w:val="000000"/>
                <w:kern w:val="0"/>
                <w:sz w:val="20"/>
                <w:szCs w:val="20"/>
              </w:rPr>
            </w:pPr>
          </w:p>
        </w:tc>
        <w:tc>
          <w:tcPr>
            <w:tcW w:w="875" w:type="dxa"/>
            <w:vAlign w:val="center"/>
          </w:tcPr>
          <w:p w14:paraId="272EA9B5">
            <w:pPr>
              <w:widowControl/>
              <w:spacing w:line="280" w:lineRule="exact"/>
              <w:jc w:val="center"/>
              <w:rPr>
                <w:rFonts w:hint="eastAsia" w:ascii="仿宋" w:hAnsi="仿宋" w:eastAsia="仿宋" w:cs="仿宋"/>
                <w:color w:val="000000"/>
                <w:kern w:val="0"/>
                <w:sz w:val="20"/>
                <w:szCs w:val="20"/>
              </w:rPr>
            </w:pPr>
          </w:p>
        </w:tc>
        <w:tc>
          <w:tcPr>
            <w:tcW w:w="1423" w:type="dxa"/>
            <w:vAlign w:val="center"/>
          </w:tcPr>
          <w:p w14:paraId="443139BA">
            <w:pPr>
              <w:widowControl/>
              <w:spacing w:line="280" w:lineRule="exact"/>
              <w:jc w:val="center"/>
              <w:rPr>
                <w:rFonts w:hint="eastAsia" w:ascii="仿宋" w:hAnsi="仿宋" w:eastAsia="仿宋" w:cs="仿宋"/>
                <w:color w:val="000000"/>
                <w:kern w:val="0"/>
                <w:sz w:val="20"/>
                <w:szCs w:val="20"/>
              </w:rPr>
            </w:pPr>
          </w:p>
        </w:tc>
      </w:tr>
      <w:tr w14:paraId="7C42F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83" w:type="dxa"/>
            <w:vMerge w:val="continue"/>
            <w:vAlign w:val="center"/>
          </w:tcPr>
          <w:p w14:paraId="6F828802">
            <w:pPr>
              <w:widowControl/>
              <w:spacing w:line="280" w:lineRule="exact"/>
              <w:jc w:val="left"/>
              <w:rPr>
                <w:rFonts w:hint="eastAsia" w:ascii="仿宋" w:hAnsi="仿宋" w:eastAsia="仿宋" w:cs="仿宋"/>
                <w:color w:val="000000"/>
                <w:kern w:val="0"/>
                <w:sz w:val="20"/>
                <w:szCs w:val="20"/>
              </w:rPr>
            </w:pPr>
          </w:p>
        </w:tc>
        <w:tc>
          <w:tcPr>
            <w:tcW w:w="2166" w:type="dxa"/>
            <w:gridSpan w:val="2"/>
            <w:vAlign w:val="center"/>
          </w:tcPr>
          <w:p w14:paraId="7DA8B0CE">
            <w:pPr>
              <w:widowControl/>
              <w:spacing w:line="280" w:lineRule="exact"/>
              <w:ind w:firstLine="600" w:firstLineChars="3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52" w:type="dxa"/>
            <w:vAlign w:val="center"/>
          </w:tcPr>
          <w:p w14:paraId="4B93C73F">
            <w:pPr>
              <w:widowControl/>
              <w:spacing w:line="280" w:lineRule="exact"/>
              <w:jc w:val="center"/>
              <w:rPr>
                <w:rFonts w:hint="eastAsia" w:ascii="仿宋" w:hAnsi="仿宋" w:eastAsia="仿宋" w:cs="仿宋"/>
                <w:color w:val="000000"/>
                <w:kern w:val="0"/>
                <w:sz w:val="20"/>
                <w:szCs w:val="20"/>
              </w:rPr>
            </w:pPr>
          </w:p>
        </w:tc>
        <w:tc>
          <w:tcPr>
            <w:tcW w:w="1213" w:type="dxa"/>
            <w:vAlign w:val="center"/>
          </w:tcPr>
          <w:p w14:paraId="7F4F91D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70</w:t>
            </w:r>
          </w:p>
        </w:tc>
        <w:tc>
          <w:tcPr>
            <w:tcW w:w="1137" w:type="dxa"/>
            <w:vAlign w:val="center"/>
          </w:tcPr>
          <w:p w14:paraId="2A9A58F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45.15</w:t>
            </w:r>
            <w:bookmarkStart w:id="1" w:name="_GoBack"/>
            <w:bookmarkEnd w:id="1"/>
          </w:p>
        </w:tc>
        <w:tc>
          <w:tcPr>
            <w:tcW w:w="830" w:type="dxa"/>
            <w:vAlign w:val="center"/>
          </w:tcPr>
          <w:p w14:paraId="7E53EBBF">
            <w:pPr>
              <w:widowControl/>
              <w:spacing w:line="280" w:lineRule="exact"/>
              <w:jc w:val="center"/>
              <w:rPr>
                <w:rFonts w:hint="eastAsia" w:ascii="仿宋" w:hAnsi="仿宋" w:eastAsia="仿宋" w:cs="仿宋"/>
                <w:color w:val="000000"/>
                <w:kern w:val="0"/>
                <w:sz w:val="20"/>
                <w:szCs w:val="20"/>
              </w:rPr>
            </w:pPr>
          </w:p>
        </w:tc>
        <w:tc>
          <w:tcPr>
            <w:tcW w:w="875" w:type="dxa"/>
            <w:vAlign w:val="center"/>
          </w:tcPr>
          <w:p w14:paraId="7487ED6D">
            <w:pPr>
              <w:widowControl/>
              <w:spacing w:line="280" w:lineRule="exact"/>
              <w:jc w:val="center"/>
              <w:rPr>
                <w:rFonts w:hint="eastAsia" w:ascii="仿宋" w:hAnsi="仿宋" w:eastAsia="仿宋" w:cs="仿宋"/>
                <w:color w:val="000000"/>
                <w:kern w:val="0"/>
                <w:sz w:val="20"/>
                <w:szCs w:val="20"/>
              </w:rPr>
            </w:pPr>
          </w:p>
        </w:tc>
        <w:tc>
          <w:tcPr>
            <w:tcW w:w="1423" w:type="dxa"/>
            <w:vAlign w:val="center"/>
          </w:tcPr>
          <w:p w14:paraId="1DAC764C">
            <w:pPr>
              <w:widowControl/>
              <w:spacing w:line="280" w:lineRule="exact"/>
              <w:jc w:val="center"/>
              <w:rPr>
                <w:rFonts w:hint="eastAsia" w:ascii="仿宋" w:hAnsi="仿宋" w:eastAsia="仿宋" w:cs="仿宋"/>
                <w:color w:val="000000"/>
                <w:kern w:val="0"/>
                <w:sz w:val="20"/>
                <w:szCs w:val="20"/>
              </w:rPr>
            </w:pPr>
          </w:p>
        </w:tc>
      </w:tr>
      <w:tr w14:paraId="7ED2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83" w:type="dxa"/>
            <w:vMerge w:val="restart"/>
            <w:vAlign w:val="center"/>
          </w:tcPr>
          <w:p w14:paraId="2F7C21C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31" w:type="dxa"/>
            <w:gridSpan w:val="4"/>
            <w:vAlign w:val="center"/>
          </w:tcPr>
          <w:p w14:paraId="48284BE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65" w:type="dxa"/>
            <w:gridSpan w:val="4"/>
            <w:vAlign w:val="center"/>
          </w:tcPr>
          <w:p w14:paraId="4CF56FE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w:t>
            </w:r>
          </w:p>
        </w:tc>
      </w:tr>
      <w:tr w14:paraId="0291A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83" w:type="dxa"/>
            <w:vMerge w:val="continue"/>
            <w:vAlign w:val="center"/>
          </w:tcPr>
          <w:p w14:paraId="7B4B5D05">
            <w:pPr>
              <w:widowControl/>
              <w:spacing w:line="280" w:lineRule="exact"/>
              <w:jc w:val="left"/>
              <w:rPr>
                <w:rFonts w:hint="eastAsia" w:ascii="仿宋" w:hAnsi="仿宋" w:eastAsia="仿宋" w:cs="仿宋"/>
                <w:color w:val="000000"/>
                <w:kern w:val="0"/>
                <w:sz w:val="20"/>
                <w:szCs w:val="20"/>
              </w:rPr>
            </w:pPr>
          </w:p>
        </w:tc>
        <w:tc>
          <w:tcPr>
            <w:tcW w:w="4531" w:type="dxa"/>
            <w:gridSpan w:val="4"/>
            <w:vAlign w:val="center"/>
          </w:tcPr>
          <w:p w14:paraId="4D6461F1">
            <w:pPr>
              <w:pStyle w:val="11"/>
              <w:spacing w:line="240" w:lineRule="auto"/>
              <w:ind w:firstLine="360"/>
              <w:rPr>
                <w:rFonts w:hint="eastAsia" w:ascii="仿宋" w:hAnsi="仿宋" w:eastAsia="仿宋" w:cs="仿宋"/>
                <w:szCs w:val="32"/>
              </w:rPr>
            </w:pPr>
            <w:r>
              <w:rPr>
                <w:rFonts w:hint="eastAsia" w:ascii="仿宋" w:hAnsi="仿宋" w:eastAsia="仿宋" w:cs="仿宋"/>
                <w:sz w:val="18"/>
                <w:szCs w:val="18"/>
              </w:rPr>
              <w:t>按要求将求职创业补贴拨付到申报且符合要求的2024届毕业生手上</w:t>
            </w:r>
          </w:p>
        </w:tc>
        <w:tc>
          <w:tcPr>
            <w:tcW w:w="4265" w:type="dxa"/>
            <w:gridSpan w:val="4"/>
            <w:vAlign w:val="center"/>
          </w:tcPr>
          <w:p w14:paraId="1F0E4C4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16"/>
                <w:szCs w:val="16"/>
              </w:rPr>
              <w:t>已完成预期目标</w:t>
            </w:r>
          </w:p>
        </w:tc>
      </w:tr>
      <w:tr w14:paraId="7371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083" w:type="dxa"/>
            <w:vMerge w:val="restart"/>
            <w:vAlign w:val="center"/>
          </w:tcPr>
          <w:p w14:paraId="2903768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04E6523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12EDC60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46D3BD0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3" w:type="dxa"/>
            <w:vAlign w:val="center"/>
          </w:tcPr>
          <w:p w14:paraId="4407D3B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3" w:type="dxa"/>
            <w:vAlign w:val="center"/>
          </w:tcPr>
          <w:p w14:paraId="7B51FE5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152" w:type="dxa"/>
            <w:vAlign w:val="center"/>
          </w:tcPr>
          <w:p w14:paraId="1396B71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213" w:type="dxa"/>
            <w:vAlign w:val="center"/>
          </w:tcPr>
          <w:p w14:paraId="17FB518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1F72EC1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137" w:type="dxa"/>
            <w:vAlign w:val="center"/>
          </w:tcPr>
          <w:p w14:paraId="16D86F4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083285E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830" w:type="dxa"/>
            <w:vAlign w:val="center"/>
          </w:tcPr>
          <w:p w14:paraId="15470FB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5" w:type="dxa"/>
            <w:vAlign w:val="center"/>
          </w:tcPr>
          <w:p w14:paraId="62318B9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23" w:type="dxa"/>
            <w:vAlign w:val="center"/>
          </w:tcPr>
          <w:p w14:paraId="21C4B94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1303E28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171749A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616C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6D8745AE">
            <w:pPr>
              <w:widowControl/>
              <w:spacing w:line="280" w:lineRule="exact"/>
              <w:jc w:val="left"/>
              <w:rPr>
                <w:rFonts w:hint="eastAsia" w:ascii="仿宋" w:hAnsi="仿宋" w:eastAsia="仿宋" w:cs="仿宋"/>
                <w:color w:val="000000"/>
                <w:kern w:val="0"/>
                <w:sz w:val="20"/>
                <w:szCs w:val="20"/>
              </w:rPr>
            </w:pPr>
          </w:p>
        </w:tc>
        <w:tc>
          <w:tcPr>
            <w:tcW w:w="1083" w:type="dxa"/>
            <w:vMerge w:val="restart"/>
            <w:vAlign w:val="center"/>
          </w:tcPr>
          <w:p w14:paraId="7989135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1AB765B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（50分）</w:t>
            </w:r>
          </w:p>
        </w:tc>
        <w:tc>
          <w:tcPr>
            <w:tcW w:w="1083" w:type="dxa"/>
            <w:vAlign w:val="center"/>
          </w:tcPr>
          <w:p w14:paraId="08C6F6F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152" w:type="dxa"/>
            <w:vAlign w:val="center"/>
          </w:tcPr>
          <w:p w14:paraId="53FD9D3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申请人数</w:t>
            </w:r>
          </w:p>
        </w:tc>
        <w:tc>
          <w:tcPr>
            <w:tcW w:w="1213" w:type="dxa"/>
            <w:vAlign w:val="center"/>
          </w:tcPr>
          <w:p w14:paraId="4384993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按实际人数</w:t>
            </w:r>
          </w:p>
        </w:tc>
        <w:tc>
          <w:tcPr>
            <w:tcW w:w="1137" w:type="dxa"/>
            <w:vAlign w:val="center"/>
          </w:tcPr>
          <w:p w14:paraId="50F6140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301人</w:t>
            </w:r>
          </w:p>
        </w:tc>
        <w:tc>
          <w:tcPr>
            <w:tcW w:w="830" w:type="dxa"/>
            <w:vAlign w:val="center"/>
          </w:tcPr>
          <w:p w14:paraId="0B6BADA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w:t>
            </w:r>
          </w:p>
        </w:tc>
        <w:tc>
          <w:tcPr>
            <w:tcW w:w="875" w:type="dxa"/>
            <w:vAlign w:val="center"/>
          </w:tcPr>
          <w:p w14:paraId="3CF1E0B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w:t>
            </w:r>
          </w:p>
        </w:tc>
        <w:tc>
          <w:tcPr>
            <w:tcW w:w="1423" w:type="dxa"/>
            <w:vAlign w:val="center"/>
          </w:tcPr>
          <w:p w14:paraId="2645DE43">
            <w:pPr>
              <w:widowControl/>
              <w:spacing w:line="280" w:lineRule="exact"/>
              <w:jc w:val="center"/>
              <w:rPr>
                <w:rFonts w:hint="eastAsia" w:ascii="仿宋" w:hAnsi="仿宋" w:eastAsia="仿宋" w:cs="仿宋"/>
                <w:color w:val="000000"/>
                <w:kern w:val="0"/>
                <w:sz w:val="20"/>
                <w:szCs w:val="20"/>
              </w:rPr>
            </w:pPr>
          </w:p>
        </w:tc>
      </w:tr>
      <w:tr w14:paraId="24670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1AE14530">
            <w:pPr>
              <w:widowControl/>
              <w:spacing w:line="280" w:lineRule="exact"/>
              <w:jc w:val="left"/>
              <w:rPr>
                <w:rFonts w:hint="eastAsia" w:ascii="仿宋" w:hAnsi="仿宋" w:eastAsia="仿宋" w:cs="仿宋"/>
                <w:color w:val="000000"/>
                <w:kern w:val="0"/>
                <w:sz w:val="20"/>
                <w:szCs w:val="20"/>
              </w:rPr>
            </w:pPr>
          </w:p>
        </w:tc>
        <w:tc>
          <w:tcPr>
            <w:tcW w:w="1083" w:type="dxa"/>
            <w:vMerge w:val="continue"/>
            <w:vAlign w:val="center"/>
          </w:tcPr>
          <w:p w14:paraId="4F280DD1">
            <w:pPr>
              <w:widowControl/>
              <w:spacing w:line="280" w:lineRule="exact"/>
              <w:jc w:val="center"/>
              <w:rPr>
                <w:rFonts w:hint="eastAsia" w:ascii="仿宋" w:hAnsi="仿宋" w:eastAsia="仿宋" w:cs="仿宋"/>
                <w:color w:val="000000"/>
                <w:kern w:val="0"/>
                <w:sz w:val="20"/>
                <w:szCs w:val="20"/>
              </w:rPr>
            </w:pPr>
          </w:p>
        </w:tc>
        <w:tc>
          <w:tcPr>
            <w:tcW w:w="1083" w:type="dxa"/>
            <w:vAlign w:val="center"/>
          </w:tcPr>
          <w:p w14:paraId="4EA6DA6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152" w:type="dxa"/>
            <w:vAlign w:val="center"/>
          </w:tcPr>
          <w:p w14:paraId="721656B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毕业生就业率</w:t>
            </w:r>
          </w:p>
        </w:tc>
        <w:tc>
          <w:tcPr>
            <w:tcW w:w="1213" w:type="dxa"/>
            <w:vAlign w:val="center"/>
          </w:tcPr>
          <w:p w14:paraId="5E09C9D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大于90%</w:t>
            </w:r>
          </w:p>
        </w:tc>
        <w:tc>
          <w:tcPr>
            <w:tcW w:w="1137" w:type="dxa"/>
            <w:vAlign w:val="center"/>
          </w:tcPr>
          <w:p w14:paraId="3891978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91.48%</w:t>
            </w:r>
          </w:p>
        </w:tc>
        <w:tc>
          <w:tcPr>
            <w:tcW w:w="830" w:type="dxa"/>
            <w:vAlign w:val="center"/>
          </w:tcPr>
          <w:p w14:paraId="446EB5A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875" w:type="dxa"/>
            <w:vAlign w:val="center"/>
          </w:tcPr>
          <w:p w14:paraId="663C074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1423" w:type="dxa"/>
            <w:vAlign w:val="center"/>
          </w:tcPr>
          <w:p w14:paraId="27EF5A47">
            <w:pPr>
              <w:widowControl/>
              <w:spacing w:line="280" w:lineRule="exact"/>
              <w:jc w:val="center"/>
              <w:rPr>
                <w:rFonts w:hint="eastAsia" w:ascii="仿宋" w:hAnsi="仿宋" w:eastAsia="仿宋" w:cs="仿宋"/>
                <w:color w:val="000000"/>
                <w:kern w:val="0"/>
                <w:sz w:val="20"/>
                <w:szCs w:val="20"/>
              </w:rPr>
            </w:pPr>
          </w:p>
        </w:tc>
      </w:tr>
      <w:tr w14:paraId="7FE60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207C6680">
            <w:pPr>
              <w:widowControl/>
              <w:spacing w:line="280" w:lineRule="exact"/>
              <w:jc w:val="left"/>
              <w:rPr>
                <w:rFonts w:hint="eastAsia" w:ascii="仿宋" w:hAnsi="仿宋" w:eastAsia="仿宋" w:cs="仿宋"/>
                <w:color w:val="000000"/>
                <w:kern w:val="0"/>
                <w:sz w:val="20"/>
                <w:szCs w:val="20"/>
              </w:rPr>
            </w:pPr>
          </w:p>
        </w:tc>
        <w:tc>
          <w:tcPr>
            <w:tcW w:w="1083" w:type="dxa"/>
            <w:vMerge w:val="continue"/>
            <w:vAlign w:val="center"/>
          </w:tcPr>
          <w:p w14:paraId="5F74EEED">
            <w:pPr>
              <w:widowControl/>
              <w:spacing w:line="280" w:lineRule="exact"/>
              <w:jc w:val="center"/>
              <w:rPr>
                <w:rFonts w:hint="eastAsia" w:ascii="仿宋" w:hAnsi="仿宋" w:eastAsia="仿宋" w:cs="仿宋"/>
                <w:color w:val="000000"/>
                <w:kern w:val="0"/>
                <w:sz w:val="20"/>
                <w:szCs w:val="20"/>
              </w:rPr>
            </w:pPr>
          </w:p>
        </w:tc>
        <w:tc>
          <w:tcPr>
            <w:tcW w:w="1083" w:type="dxa"/>
            <w:vAlign w:val="center"/>
          </w:tcPr>
          <w:p w14:paraId="23FEDD4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152" w:type="dxa"/>
            <w:vAlign w:val="center"/>
          </w:tcPr>
          <w:p w14:paraId="037CBFB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资金及时拨付到位</w:t>
            </w:r>
          </w:p>
        </w:tc>
        <w:tc>
          <w:tcPr>
            <w:tcW w:w="1213" w:type="dxa"/>
            <w:vAlign w:val="center"/>
          </w:tcPr>
          <w:p w14:paraId="63D2D8A4">
            <w:pPr>
              <w:widowControl/>
              <w:spacing w:line="280" w:lineRule="exact"/>
              <w:jc w:val="cente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2023年12月31日</w:t>
            </w:r>
            <w:r>
              <w:rPr>
                <w:rFonts w:hint="eastAsia" w:ascii="仿宋" w:hAnsi="仿宋" w:eastAsia="仿宋" w:cs="仿宋"/>
                <w:color w:val="000000"/>
                <w:kern w:val="0"/>
                <w:sz w:val="20"/>
                <w:szCs w:val="20"/>
                <w:lang w:eastAsia="zh-CN"/>
              </w:rPr>
              <w:t>之前</w:t>
            </w:r>
          </w:p>
        </w:tc>
        <w:tc>
          <w:tcPr>
            <w:tcW w:w="1137" w:type="dxa"/>
            <w:vAlign w:val="center"/>
          </w:tcPr>
          <w:p w14:paraId="2ACE08A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30" w:type="dxa"/>
            <w:vAlign w:val="center"/>
          </w:tcPr>
          <w:p w14:paraId="3D2E0EC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875" w:type="dxa"/>
            <w:vAlign w:val="center"/>
          </w:tcPr>
          <w:p w14:paraId="2AF9158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1423" w:type="dxa"/>
            <w:vAlign w:val="center"/>
          </w:tcPr>
          <w:p w14:paraId="30BA8DFE">
            <w:pPr>
              <w:widowControl/>
              <w:spacing w:line="280" w:lineRule="exact"/>
              <w:jc w:val="center"/>
              <w:rPr>
                <w:rFonts w:hint="eastAsia" w:ascii="仿宋" w:hAnsi="仿宋" w:eastAsia="仿宋" w:cs="仿宋"/>
                <w:color w:val="000000"/>
                <w:kern w:val="0"/>
                <w:sz w:val="20"/>
                <w:szCs w:val="20"/>
              </w:rPr>
            </w:pPr>
          </w:p>
        </w:tc>
      </w:tr>
      <w:tr w14:paraId="3B07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37ECC317">
            <w:pPr>
              <w:widowControl/>
              <w:spacing w:line="280" w:lineRule="exact"/>
              <w:jc w:val="left"/>
              <w:rPr>
                <w:rFonts w:hint="eastAsia" w:ascii="仿宋" w:hAnsi="仿宋" w:eastAsia="仿宋" w:cs="仿宋"/>
                <w:color w:val="000000"/>
                <w:kern w:val="0"/>
                <w:sz w:val="20"/>
                <w:szCs w:val="20"/>
              </w:rPr>
            </w:pPr>
          </w:p>
        </w:tc>
        <w:tc>
          <w:tcPr>
            <w:tcW w:w="1083" w:type="dxa"/>
            <w:vMerge w:val="continue"/>
            <w:vAlign w:val="center"/>
          </w:tcPr>
          <w:p w14:paraId="1105284B">
            <w:pPr>
              <w:widowControl/>
              <w:spacing w:line="280" w:lineRule="exact"/>
              <w:jc w:val="center"/>
              <w:rPr>
                <w:rFonts w:hint="eastAsia" w:ascii="仿宋" w:hAnsi="仿宋" w:eastAsia="仿宋" w:cs="仿宋"/>
                <w:color w:val="000000"/>
                <w:kern w:val="0"/>
                <w:sz w:val="20"/>
                <w:szCs w:val="20"/>
              </w:rPr>
            </w:pPr>
          </w:p>
        </w:tc>
        <w:tc>
          <w:tcPr>
            <w:tcW w:w="1083" w:type="dxa"/>
            <w:vAlign w:val="center"/>
          </w:tcPr>
          <w:p w14:paraId="0DE77E0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152" w:type="dxa"/>
            <w:vAlign w:val="center"/>
          </w:tcPr>
          <w:p w14:paraId="04DB39B3">
            <w:pPr>
              <w:widowControl/>
              <w:spacing w:line="280" w:lineRule="exac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发放金额等于拨付金额</w:t>
            </w:r>
          </w:p>
        </w:tc>
        <w:tc>
          <w:tcPr>
            <w:tcW w:w="1213" w:type="dxa"/>
            <w:vAlign w:val="center"/>
          </w:tcPr>
          <w:p w14:paraId="6941495D">
            <w:pPr>
              <w:widowControl/>
              <w:spacing w:line="280" w:lineRule="exact"/>
              <w:ind w:firstLine="200" w:firstLineChars="100"/>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7" w:type="dxa"/>
            <w:vAlign w:val="center"/>
          </w:tcPr>
          <w:p w14:paraId="08A85D9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30" w:type="dxa"/>
            <w:vAlign w:val="center"/>
          </w:tcPr>
          <w:p w14:paraId="3E1C07E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875" w:type="dxa"/>
            <w:vAlign w:val="center"/>
          </w:tcPr>
          <w:p w14:paraId="546922A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1423" w:type="dxa"/>
            <w:vAlign w:val="center"/>
          </w:tcPr>
          <w:p w14:paraId="60626D47">
            <w:pPr>
              <w:widowControl/>
              <w:spacing w:line="280" w:lineRule="exact"/>
              <w:jc w:val="center"/>
              <w:rPr>
                <w:rFonts w:hint="eastAsia" w:ascii="仿宋" w:hAnsi="仿宋" w:eastAsia="仿宋" w:cs="仿宋"/>
                <w:color w:val="000000"/>
                <w:kern w:val="0"/>
                <w:sz w:val="20"/>
                <w:szCs w:val="20"/>
              </w:rPr>
            </w:pPr>
          </w:p>
        </w:tc>
      </w:tr>
      <w:tr w14:paraId="10AD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1B8E846C">
            <w:pPr>
              <w:widowControl/>
              <w:spacing w:line="280" w:lineRule="exact"/>
              <w:jc w:val="left"/>
              <w:rPr>
                <w:rFonts w:hint="eastAsia" w:ascii="仿宋" w:hAnsi="仿宋" w:eastAsia="仿宋" w:cs="仿宋"/>
                <w:color w:val="000000"/>
                <w:kern w:val="0"/>
                <w:sz w:val="20"/>
                <w:szCs w:val="20"/>
              </w:rPr>
            </w:pPr>
          </w:p>
        </w:tc>
        <w:tc>
          <w:tcPr>
            <w:tcW w:w="1083" w:type="dxa"/>
            <w:vMerge w:val="restart"/>
            <w:vAlign w:val="center"/>
          </w:tcPr>
          <w:p w14:paraId="457AD4C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1441192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3" w:type="dxa"/>
            <w:vAlign w:val="center"/>
          </w:tcPr>
          <w:p w14:paraId="206EBE9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539377E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52" w:type="dxa"/>
            <w:vAlign w:val="center"/>
          </w:tcPr>
          <w:p w14:paraId="5B6AF3B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获补对象准确率</w:t>
            </w:r>
          </w:p>
        </w:tc>
        <w:tc>
          <w:tcPr>
            <w:tcW w:w="1213" w:type="dxa"/>
            <w:vAlign w:val="center"/>
          </w:tcPr>
          <w:p w14:paraId="311397E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100.00%</w:t>
            </w:r>
          </w:p>
        </w:tc>
        <w:tc>
          <w:tcPr>
            <w:tcW w:w="1137" w:type="dxa"/>
            <w:vAlign w:val="center"/>
          </w:tcPr>
          <w:p w14:paraId="57B85C0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30" w:type="dxa"/>
            <w:vAlign w:val="center"/>
          </w:tcPr>
          <w:p w14:paraId="56AE645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875" w:type="dxa"/>
            <w:vAlign w:val="center"/>
          </w:tcPr>
          <w:p w14:paraId="7B4C062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1423" w:type="dxa"/>
            <w:vAlign w:val="center"/>
          </w:tcPr>
          <w:p w14:paraId="2E94772F">
            <w:pPr>
              <w:widowControl/>
              <w:spacing w:line="280" w:lineRule="exact"/>
              <w:jc w:val="center"/>
              <w:rPr>
                <w:rFonts w:hint="eastAsia" w:ascii="仿宋" w:hAnsi="仿宋" w:eastAsia="仿宋" w:cs="仿宋"/>
                <w:color w:val="000000"/>
                <w:kern w:val="0"/>
                <w:sz w:val="20"/>
                <w:szCs w:val="20"/>
                <w:highlight w:val="yellow"/>
              </w:rPr>
            </w:pPr>
          </w:p>
        </w:tc>
      </w:tr>
      <w:tr w14:paraId="7BF95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5ACB3B68">
            <w:pPr>
              <w:widowControl/>
              <w:spacing w:line="280" w:lineRule="exact"/>
              <w:jc w:val="left"/>
              <w:rPr>
                <w:rFonts w:hint="eastAsia" w:ascii="仿宋" w:hAnsi="仿宋" w:eastAsia="仿宋" w:cs="仿宋"/>
                <w:color w:val="000000"/>
                <w:kern w:val="0"/>
                <w:sz w:val="20"/>
                <w:szCs w:val="20"/>
              </w:rPr>
            </w:pPr>
          </w:p>
        </w:tc>
        <w:tc>
          <w:tcPr>
            <w:tcW w:w="1083" w:type="dxa"/>
            <w:vMerge w:val="continue"/>
            <w:vAlign w:val="center"/>
          </w:tcPr>
          <w:p w14:paraId="41B2DFF8">
            <w:pPr>
              <w:widowControl/>
              <w:spacing w:line="280" w:lineRule="exact"/>
              <w:jc w:val="center"/>
              <w:rPr>
                <w:rFonts w:hint="eastAsia" w:ascii="仿宋" w:hAnsi="仿宋" w:eastAsia="仿宋" w:cs="仿宋"/>
                <w:color w:val="000000"/>
                <w:kern w:val="0"/>
                <w:sz w:val="20"/>
                <w:szCs w:val="20"/>
              </w:rPr>
            </w:pPr>
          </w:p>
        </w:tc>
        <w:tc>
          <w:tcPr>
            <w:tcW w:w="1083" w:type="dxa"/>
            <w:vAlign w:val="center"/>
          </w:tcPr>
          <w:p w14:paraId="0647091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6E352CB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52" w:type="dxa"/>
            <w:vAlign w:val="center"/>
          </w:tcPr>
          <w:p w14:paraId="0902705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促进学生高质量就业创业</w:t>
            </w:r>
          </w:p>
        </w:tc>
        <w:tc>
          <w:tcPr>
            <w:tcW w:w="1213" w:type="dxa"/>
            <w:vAlign w:val="center"/>
          </w:tcPr>
          <w:p w14:paraId="3D9D2C4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显著</w:t>
            </w:r>
          </w:p>
        </w:tc>
        <w:tc>
          <w:tcPr>
            <w:tcW w:w="1137" w:type="dxa"/>
            <w:vAlign w:val="center"/>
          </w:tcPr>
          <w:p w14:paraId="51B94643">
            <w:pPr>
              <w:widowControl/>
              <w:spacing w:line="280" w:lineRule="exact"/>
              <w:ind w:firstLine="200" w:firstLineChars="100"/>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良好</w:t>
            </w:r>
          </w:p>
        </w:tc>
        <w:tc>
          <w:tcPr>
            <w:tcW w:w="830" w:type="dxa"/>
            <w:vAlign w:val="center"/>
          </w:tcPr>
          <w:p w14:paraId="4BC94C5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875" w:type="dxa"/>
            <w:vAlign w:val="center"/>
          </w:tcPr>
          <w:p w14:paraId="04824A7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w:t>
            </w:r>
          </w:p>
        </w:tc>
        <w:tc>
          <w:tcPr>
            <w:tcW w:w="1423" w:type="dxa"/>
            <w:vAlign w:val="center"/>
          </w:tcPr>
          <w:p w14:paraId="156FC586">
            <w:pPr>
              <w:widowControl/>
              <w:spacing w:line="280" w:lineRule="exact"/>
              <w:jc w:val="center"/>
              <w:rPr>
                <w:rFonts w:hint="eastAsia" w:ascii="仿宋" w:hAnsi="仿宋" w:eastAsia="仿宋" w:cs="仿宋"/>
                <w:color w:val="000000"/>
                <w:kern w:val="0"/>
                <w:sz w:val="20"/>
                <w:szCs w:val="20"/>
              </w:rPr>
            </w:pPr>
          </w:p>
        </w:tc>
      </w:tr>
      <w:tr w14:paraId="6AC3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277F4979">
            <w:pPr>
              <w:widowControl/>
              <w:spacing w:line="280" w:lineRule="exact"/>
              <w:jc w:val="left"/>
              <w:rPr>
                <w:rFonts w:hint="eastAsia" w:ascii="仿宋" w:hAnsi="仿宋" w:eastAsia="仿宋" w:cs="仿宋"/>
                <w:color w:val="000000"/>
                <w:kern w:val="0"/>
                <w:sz w:val="20"/>
                <w:szCs w:val="20"/>
              </w:rPr>
            </w:pPr>
          </w:p>
        </w:tc>
        <w:tc>
          <w:tcPr>
            <w:tcW w:w="1083" w:type="dxa"/>
            <w:vMerge w:val="continue"/>
            <w:vAlign w:val="center"/>
          </w:tcPr>
          <w:p w14:paraId="59326EF6">
            <w:pPr>
              <w:widowControl/>
              <w:spacing w:line="280" w:lineRule="exact"/>
              <w:jc w:val="center"/>
              <w:rPr>
                <w:rFonts w:hint="eastAsia" w:ascii="仿宋" w:hAnsi="仿宋" w:eastAsia="仿宋" w:cs="仿宋"/>
                <w:color w:val="000000"/>
                <w:kern w:val="0"/>
                <w:sz w:val="20"/>
                <w:szCs w:val="20"/>
              </w:rPr>
            </w:pPr>
          </w:p>
        </w:tc>
        <w:tc>
          <w:tcPr>
            <w:tcW w:w="1083" w:type="dxa"/>
            <w:vAlign w:val="center"/>
          </w:tcPr>
          <w:p w14:paraId="7ED7C28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364FD71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52" w:type="dxa"/>
            <w:vAlign w:val="center"/>
          </w:tcPr>
          <w:p w14:paraId="2FFA8F6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不适用</w:t>
            </w:r>
          </w:p>
        </w:tc>
        <w:tc>
          <w:tcPr>
            <w:tcW w:w="1213" w:type="dxa"/>
            <w:vAlign w:val="center"/>
          </w:tcPr>
          <w:p w14:paraId="3A5C2F4C">
            <w:pPr>
              <w:widowControl/>
              <w:spacing w:line="280" w:lineRule="exact"/>
              <w:jc w:val="center"/>
              <w:rPr>
                <w:rFonts w:hint="eastAsia" w:ascii="仿宋" w:hAnsi="仿宋" w:eastAsia="仿宋" w:cs="仿宋"/>
                <w:color w:val="000000"/>
                <w:kern w:val="0"/>
                <w:sz w:val="20"/>
                <w:szCs w:val="20"/>
              </w:rPr>
            </w:pPr>
          </w:p>
        </w:tc>
        <w:tc>
          <w:tcPr>
            <w:tcW w:w="1137" w:type="dxa"/>
            <w:vAlign w:val="center"/>
          </w:tcPr>
          <w:p w14:paraId="7D8F3805">
            <w:pPr>
              <w:widowControl/>
              <w:spacing w:line="280" w:lineRule="exact"/>
              <w:jc w:val="center"/>
              <w:rPr>
                <w:rFonts w:hint="eastAsia" w:ascii="仿宋" w:hAnsi="仿宋" w:eastAsia="仿宋" w:cs="仿宋"/>
                <w:color w:val="000000"/>
                <w:kern w:val="0"/>
                <w:sz w:val="20"/>
                <w:szCs w:val="20"/>
              </w:rPr>
            </w:pPr>
          </w:p>
        </w:tc>
        <w:tc>
          <w:tcPr>
            <w:tcW w:w="830" w:type="dxa"/>
            <w:vAlign w:val="center"/>
          </w:tcPr>
          <w:p w14:paraId="7A65079B">
            <w:pPr>
              <w:widowControl/>
              <w:spacing w:line="280" w:lineRule="exact"/>
              <w:jc w:val="center"/>
              <w:rPr>
                <w:rFonts w:hint="eastAsia" w:ascii="仿宋" w:hAnsi="仿宋" w:eastAsia="仿宋" w:cs="仿宋"/>
                <w:color w:val="000000"/>
                <w:kern w:val="0"/>
                <w:sz w:val="20"/>
                <w:szCs w:val="20"/>
              </w:rPr>
            </w:pPr>
          </w:p>
        </w:tc>
        <w:tc>
          <w:tcPr>
            <w:tcW w:w="875" w:type="dxa"/>
            <w:vAlign w:val="center"/>
          </w:tcPr>
          <w:p w14:paraId="10E1C5D0">
            <w:pPr>
              <w:widowControl/>
              <w:spacing w:line="280" w:lineRule="exact"/>
              <w:jc w:val="center"/>
              <w:rPr>
                <w:rFonts w:hint="eastAsia" w:ascii="仿宋" w:hAnsi="仿宋" w:eastAsia="仿宋" w:cs="仿宋"/>
                <w:color w:val="000000"/>
                <w:kern w:val="0"/>
                <w:sz w:val="20"/>
                <w:szCs w:val="20"/>
              </w:rPr>
            </w:pPr>
          </w:p>
        </w:tc>
        <w:tc>
          <w:tcPr>
            <w:tcW w:w="1423" w:type="dxa"/>
            <w:vAlign w:val="center"/>
          </w:tcPr>
          <w:p w14:paraId="406E83D2">
            <w:pPr>
              <w:widowControl/>
              <w:spacing w:line="280" w:lineRule="exact"/>
              <w:jc w:val="center"/>
              <w:rPr>
                <w:rFonts w:hint="eastAsia" w:ascii="仿宋" w:hAnsi="仿宋" w:eastAsia="仿宋" w:cs="仿宋"/>
                <w:color w:val="000000"/>
                <w:kern w:val="0"/>
                <w:sz w:val="20"/>
                <w:szCs w:val="20"/>
              </w:rPr>
            </w:pPr>
          </w:p>
        </w:tc>
      </w:tr>
      <w:tr w14:paraId="59A0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775519DB">
            <w:pPr>
              <w:widowControl/>
              <w:spacing w:line="280" w:lineRule="exact"/>
              <w:jc w:val="center"/>
              <w:rPr>
                <w:rFonts w:hint="eastAsia" w:ascii="仿宋" w:hAnsi="仿宋" w:eastAsia="仿宋" w:cs="仿宋"/>
                <w:color w:val="000000"/>
                <w:kern w:val="0"/>
                <w:sz w:val="20"/>
                <w:szCs w:val="20"/>
              </w:rPr>
            </w:pPr>
          </w:p>
        </w:tc>
        <w:tc>
          <w:tcPr>
            <w:tcW w:w="1083" w:type="dxa"/>
            <w:vMerge w:val="continue"/>
            <w:vAlign w:val="center"/>
          </w:tcPr>
          <w:p w14:paraId="16CDF154">
            <w:pPr>
              <w:widowControl/>
              <w:spacing w:line="280" w:lineRule="exact"/>
              <w:jc w:val="center"/>
              <w:rPr>
                <w:rFonts w:hint="eastAsia" w:ascii="仿宋" w:hAnsi="仿宋" w:eastAsia="仿宋" w:cs="仿宋"/>
                <w:color w:val="000000"/>
                <w:kern w:val="0"/>
                <w:sz w:val="20"/>
                <w:szCs w:val="20"/>
              </w:rPr>
            </w:pPr>
          </w:p>
        </w:tc>
        <w:tc>
          <w:tcPr>
            <w:tcW w:w="1083" w:type="dxa"/>
            <w:vAlign w:val="center"/>
          </w:tcPr>
          <w:p w14:paraId="75AFE64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152" w:type="dxa"/>
            <w:vAlign w:val="center"/>
          </w:tcPr>
          <w:p w14:paraId="7822058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资金发放合理规范，推动就业工作</w:t>
            </w:r>
          </w:p>
        </w:tc>
        <w:tc>
          <w:tcPr>
            <w:tcW w:w="1213" w:type="dxa"/>
            <w:vAlign w:val="center"/>
          </w:tcPr>
          <w:p w14:paraId="4C3C422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显著</w:t>
            </w:r>
          </w:p>
        </w:tc>
        <w:tc>
          <w:tcPr>
            <w:tcW w:w="1137" w:type="dxa"/>
            <w:vAlign w:val="center"/>
          </w:tcPr>
          <w:p w14:paraId="3EC287B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显著</w:t>
            </w:r>
          </w:p>
        </w:tc>
        <w:tc>
          <w:tcPr>
            <w:tcW w:w="830" w:type="dxa"/>
            <w:vAlign w:val="center"/>
          </w:tcPr>
          <w:p w14:paraId="47DE58F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875" w:type="dxa"/>
            <w:vAlign w:val="center"/>
          </w:tcPr>
          <w:p w14:paraId="3808E15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1423" w:type="dxa"/>
            <w:vAlign w:val="center"/>
          </w:tcPr>
          <w:p w14:paraId="47BA8580">
            <w:pPr>
              <w:widowControl/>
              <w:spacing w:line="280" w:lineRule="exact"/>
              <w:jc w:val="center"/>
              <w:rPr>
                <w:rFonts w:hint="eastAsia" w:ascii="仿宋" w:hAnsi="仿宋" w:eastAsia="仿宋" w:cs="仿宋"/>
                <w:color w:val="000000"/>
                <w:kern w:val="0"/>
                <w:sz w:val="20"/>
                <w:szCs w:val="20"/>
              </w:rPr>
            </w:pPr>
          </w:p>
        </w:tc>
      </w:tr>
      <w:tr w14:paraId="3EC05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83" w:type="dxa"/>
            <w:vMerge w:val="continue"/>
            <w:vAlign w:val="center"/>
          </w:tcPr>
          <w:p w14:paraId="77EC2C23">
            <w:pPr>
              <w:widowControl/>
              <w:spacing w:line="280" w:lineRule="exact"/>
              <w:jc w:val="left"/>
              <w:rPr>
                <w:rFonts w:hint="eastAsia" w:ascii="仿宋" w:hAnsi="仿宋" w:eastAsia="仿宋" w:cs="仿宋"/>
                <w:color w:val="000000"/>
                <w:kern w:val="0"/>
                <w:sz w:val="20"/>
                <w:szCs w:val="20"/>
              </w:rPr>
            </w:pPr>
          </w:p>
        </w:tc>
        <w:tc>
          <w:tcPr>
            <w:tcW w:w="1083" w:type="dxa"/>
            <w:vAlign w:val="center"/>
          </w:tcPr>
          <w:p w14:paraId="3A6629A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7C59F8D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22AD0B6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3" w:type="dxa"/>
            <w:vAlign w:val="center"/>
          </w:tcPr>
          <w:p w14:paraId="639B557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152" w:type="dxa"/>
            <w:vAlign w:val="center"/>
          </w:tcPr>
          <w:p w14:paraId="5929C6E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学生满意度</w:t>
            </w:r>
          </w:p>
        </w:tc>
        <w:tc>
          <w:tcPr>
            <w:tcW w:w="1213" w:type="dxa"/>
            <w:vAlign w:val="center"/>
          </w:tcPr>
          <w:p w14:paraId="32BFCF7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95%</w:t>
            </w:r>
          </w:p>
        </w:tc>
        <w:tc>
          <w:tcPr>
            <w:tcW w:w="1137" w:type="dxa"/>
            <w:vAlign w:val="center"/>
          </w:tcPr>
          <w:p w14:paraId="0386589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30" w:type="dxa"/>
            <w:vAlign w:val="center"/>
          </w:tcPr>
          <w:p w14:paraId="5400EB8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875" w:type="dxa"/>
            <w:vAlign w:val="center"/>
          </w:tcPr>
          <w:p w14:paraId="425851A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1423" w:type="dxa"/>
            <w:vAlign w:val="center"/>
          </w:tcPr>
          <w:p w14:paraId="5140D1E0">
            <w:pPr>
              <w:widowControl/>
              <w:spacing w:line="280" w:lineRule="exact"/>
              <w:jc w:val="center"/>
              <w:rPr>
                <w:rFonts w:hint="eastAsia" w:ascii="仿宋" w:hAnsi="仿宋" w:eastAsia="仿宋" w:cs="仿宋"/>
                <w:color w:val="000000"/>
                <w:kern w:val="0"/>
                <w:sz w:val="20"/>
                <w:szCs w:val="20"/>
              </w:rPr>
            </w:pPr>
          </w:p>
        </w:tc>
      </w:tr>
      <w:tr w14:paraId="17858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751" w:type="dxa"/>
            <w:gridSpan w:val="6"/>
            <w:vAlign w:val="center"/>
          </w:tcPr>
          <w:p w14:paraId="747AE25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830" w:type="dxa"/>
            <w:vAlign w:val="center"/>
          </w:tcPr>
          <w:p w14:paraId="294A609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5" w:type="dxa"/>
            <w:vAlign w:val="center"/>
          </w:tcPr>
          <w:p w14:paraId="2567C52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94.45</w:t>
            </w:r>
          </w:p>
        </w:tc>
        <w:tc>
          <w:tcPr>
            <w:tcW w:w="1423" w:type="dxa"/>
            <w:vAlign w:val="center"/>
          </w:tcPr>
          <w:p w14:paraId="1902B279">
            <w:pPr>
              <w:widowControl/>
              <w:spacing w:line="280" w:lineRule="exact"/>
              <w:jc w:val="left"/>
              <w:rPr>
                <w:rFonts w:hint="eastAsia" w:ascii="仿宋" w:hAnsi="仿宋" w:eastAsia="仿宋" w:cs="仿宋"/>
                <w:color w:val="000000"/>
                <w:kern w:val="0"/>
                <w:sz w:val="20"/>
                <w:szCs w:val="20"/>
              </w:rPr>
            </w:pPr>
          </w:p>
        </w:tc>
      </w:tr>
    </w:tbl>
    <w:p w14:paraId="79C6BC5A">
      <w:pPr>
        <w:spacing w:line="600" w:lineRule="exact"/>
      </w:pPr>
      <w:r>
        <w:rPr>
          <w:rFonts w:ascii="Times New Roman" w:hAnsi="Times New Roman" w:eastAsia="仿宋_GB2312" w:cs="Times New Roman"/>
          <w:color w:val="000000"/>
          <w:kern w:val="0"/>
          <w:sz w:val="24"/>
          <w:szCs w:val="24"/>
        </w:rPr>
        <w:t>填表人：</w:t>
      </w:r>
      <w:r>
        <w:rPr>
          <w:rFonts w:hint="eastAsia" w:ascii="Times New Roman" w:hAnsi="Times New Roman" w:eastAsia="仿宋_GB2312" w:cs="Times New Roman"/>
          <w:color w:val="000000"/>
          <w:kern w:val="0"/>
          <w:sz w:val="24"/>
          <w:szCs w:val="24"/>
        </w:rPr>
        <w:t xml:space="preserve">张琼             </w:t>
      </w:r>
      <w:r>
        <w:rPr>
          <w:rFonts w:ascii="Times New Roman" w:hAnsi="Times New Roman" w:eastAsia="仿宋_GB2312" w:cs="Times New Roman"/>
          <w:color w:val="000000"/>
          <w:kern w:val="0"/>
          <w:sz w:val="24"/>
          <w:szCs w:val="24"/>
        </w:rPr>
        <w:t xml:space="preserve"> 填报日期：</w:t>
      </w:r>
      <w:r>
        <w:rPr>
          <w:rFonts w:hint="eastAsia" w:ascii="Times New Roman" w:hAnsi="Times New Roman" w:eastAsia="仿宋_GB2312" w:cs="Times New Roman"/>
          <w:color w:val="000000"/>
          <w:kern w:val="0"/>
          <w:sz w:val="24"/>
          <w:szCs w:val="24"/>
        </w:rPr>
        <w:t xml:space="preserve">2024年6月30     </w:t>
      </w:r>
      <w:r>
        <w:rPr>
          <w:rFonts w:ascii="Times New Roman" w:hAnsi="Times New Roman" w:eastAsia="仿宋_GB2312" w:cs="Times New Roman"/>
          <w:color w:val="000000"/>
          <w:kern w:val="0"/>
          <w:sz w:val="24"/>
          <w:szCs w:val="24"/>
        </w:rPr>
        <w:t xml:space="preserve"> 联系电话：</w:t>
      </w:r>
      <w:r>
        <w:rPr>
          <w:rFonts w:hint="eastAsia" w:ascii="Times New Roman" w:hAnsi="Times New Roman" w:eastAsia="仿宋_GB2312" w:cs="Times New Roman"/>
          <w:color w:val="000000"/>
          <w:kern w:val="0"/>
          <w:sz w:val="24"/>
          <w:szCs w:val="24"/>
        </w:rPr>
        <w:t xml:space="preserve">13787512709 </w:t>
      </w:r>
    </w:p>
    <w:p w14:paraId="65461318">
      <w:pPr>
        <w:jc w:val="center"/>
        <w:rPr>
          <w:rFonts w:hint="eastAsia" w:ascii="黑体" w:hAnsi="黑体" w:eastAsia="黑体"/>
          <w:b/>
          <w:bCs/>
          <w:sz w:val="44"/>
          <w:szCs w:val="44"/>
        </w:rPr>
      </w:pPr>
    </w:p>
    <w:sectPr>
      <w:footerReference r:id="rId3" w:type="default"/>
      <w:pgSz w:w="11906" w:h="16838"/>
      <w:pgMar w:top="1440" w:right="1531" w:bottom="1440"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7419D">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17780" b="1270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DB286">
                          <w:pPr>
                            <w:pStyle w:val="3"/>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aEKcWsEBAACNAwAADgAAAAAAAAABACAAAAAeAQAAZHJzL2Uyb0RvYy54bWxQSwUG&#10;AAAAAAYABgBZAQAAUQUAAAAA&#10;">
              <v:fill on="f" focussize="0,0"/>
              <v:stroke on="f"/>
              <v:imagedata o:title=""/>
              <o:lock v:ext="edit" aspectratio="f"/>
              <v:textbox inset="0mm,0mm,0mm,0mm" style="mso-fit-shape-to-text:t;">
                <w:txbxContent>
                  <w:p w14:paraId="43CDB286">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yYjM1MTNhYTRhMjAxOGJhMzcyZmQwMWM5YjBkNDcifQ=="/>
  </w:docVars>
  <w:rsids>
    <w:rsidRoot w:val="00AB24A1"/>
    <w:rsid w:val="000067A5"/>
    <w:rsid w:val="00012009"/>
    <w:rsid w:val="00013110"/>
    <w:rsid w:val="000133C0"/>
    <w:rsid w:val="000277E0"/>
    <w:rsid w:val="00035DB5"/>
    <w:rsid w:val="00040626"/>
    <w:rsid w:val="00040907"/>
    <w:rsid w:val="00041900"/>
    <w:rsid w:val="00063D8C"/>
    <w:rsid w:val="00072226"/>
    <w:rsid w:val="00076C85"/>
    <w:rsid w:val="00091220"/>
    <w:rsid w:val="00097ED3"/>
    <w:rsid w:val="000A17B1"/>
    <w:rsid w:val="000A34A5"/>
    <w:rsid w:val="000A4011"/>
    <w:rsid w:val="000A4FE2"/>
    <w:rsid w:val="000B00F3"/>
    <w:rsid w:val="000B0A5B"/>
    <w:rsid w:val="000C1182"/>
    <w:rsid w:val="000D4B8A"/>
    <w:rsid w:val="000F5B51"/>
    <w:rsid w:val="00100A8E"/>
    <w:rsid w:val="001034E4"/>
    <w:rsid w:val="0011061F"/>
    <w:rsid w:val="001172D5"/>
    <w:rsid w:val="00117EA3"/>
    <w:rsid w:val="001226AD"/>
    <w:rsid w:val="00122DCD"/>
    <w:rsid w:val="00126D06"/>
    <w:rsid w:val="0013475E"/>
    <w:rsid w:val="00136ECF"/>
    <w:rsid w:val="00147D6D"/>
    <w:rsid w:val="00150CCA"/>
    <w:rsid w:val="0015659E"/>
    <w:rsid w:val="0016673C"/>
    <w:rsid w:val="0017449B"/>
    <w:rsid w:val="001773F4"/>
    <w:rsid w:val="0018108F"/>
    <w:rsid w:val="0018424B"/>
    <w:rsid w:val="001861E8"/>
    <w:rsid w:val="001872E1"/>
    <w:rsid w:val="001A0534"/>
    <w:rsid w:val="001A14D5"/>
    <w:rsid w:val="001A23EE"/>
    <w:rsid w:val="001A41E7"/>
    <w:rsid w:val="001B3573"/>
    <w:rsid w:val="001B573D"/>
    <w:rsid w:val="001C01A1"/>
    <w:rsid w:val="001E0364"/>
    <w:rsid w:val="001E541B"/>
    <w:rsid w:val="001F1FCF"/>
    <w:rsid w:val="001F73E7"/>
    <w:rsid w:val="001F7FE2"/>
    <w:rsid w:val="00205226"/>
    <w:rsid w:val="00211F96"/>
    <w:rsid w:val="00215949"/>
    <w:rsid w:val="00216562"/>
    <w:rsid w:val="00222BB3"/>
    <w:rsid w:val="00224DC1"/>
    <w:rsid w:val="0022642D"/>
    <w:rsid w:val="00230F06"/>
    <w:rsid w:val="0023338A"/>
    <w:rsid w:val="00233C98"/>
    <w:rsid w:val="00240DAE"/>
    <w:rsid w:val="00251FEC"/>
    <w:rsid w:val="00273D6D"/>
    <w:rsid w:val="002A46ED"/>
    <w:rsid w:val="002B18FD"/>
    <w:rsid w:val="002B3877"/>
    <w:rsid w:val="002E1874"/>
    <w:rsid w:val="002E6ABE"/>
    <w:rsid w:val="002F10FA"/>
    <w:rsid w:val="002F1720"/>
    <w:rsid w:val="002F719D"/>
    <w:rsid w:val="0030368C"/>
    <w:rsid w:val="003046C0"/>
    <w:rsid w:val="00305754"/>
    <w:rsid w:val="0030593C"/>
    <w:rsid w:val="0030607A"/>
    <w:rsid w:val="003067A0"/>
    <w:rsid w:val="00307E03"/>
    <w:rsid w:val="003105FE"/>
    <w:rsid w:val="003305BB"/>
    <w:rsid w:val="00333FF2"/>
    <w:rsid w:val="003370B5"/>
    <w:rsid w:val="003371FF"/>
    <w:rsid w:val="00337F90"/>
    <w:rsid w:val="0034495B"/>
    <w:rsid w:val="00356538"/>
    <w:rsid w:val="003604A5"/>
    <w:rsid w:val="003658B1"/>
    <w:rsid w:val="00365928"/>
    <w:rsid w:val="00371622"/>
    <w:rsid w:val="00374083"/>
    <w:rsid w:val="003777B3"/>
    <w:rsid w:val="00391046"/>
    <w:rsid w:val="003970F2"/>
    <w:rsid w:val="003A146C"/>
    <w:rsid w:val="003C15F1"/>
    <w:rsid w:val="003C568A"/>
    <w:rsid w:val="003D17EF"/>
    <w:rsid w:val="003D2C16"/>
    <w:rsid w:val="003D7547"/>
    <w:rsid w:val="003E357F"/>
    <w:rsid w:val="003F0DCF"/>
    <w:rsid w:val="003F794E"/>
    <w:rsid w:val="00402D4C"/>
    <w:rsid w:val="0040427B"/>
    <w:rsid w:val="0040608E"/>
    <w:rsid w:val="00412CDC"/>
    <w:rsid w:val="004168B9"/>
    <w:rsid w:val="00417791"/>
    <w:rsid w:val="00422C61"/>
    <w:rsid w:val="0043561A"/>
    <w:rsid w:val="004410C8"/>
    <w:rsid w:val="004422C2"/>
    <w:rsid w:val="004515E2"/>
    <w:rsid w:val="004576F4"/>
    <w:rsid w:val="00457E90"/>
    <w:rsid w:val="00473AD6"/>
    <w:rsid w:val="004758ED"/>
    <w:rsid w:val="00480ECA"/>
    <w:rsid w:val="004839EF"/>
    <w:rsid w:val="00486AF4"/>
    <w:rsid w:val="004918E7"/>
    <w:rsid w:val="004A1AA0"/>
    <w:rsid w:val="004A4DF3"/>
    <w:rsid w:val="004A611E"/>
    <w:rsid w:val="004C0A02"/>
    <w:rsid w:val="004C0F9E"/>
    <w:rsid w:val="004C3766"/>
    <w:rsid w:val="004C38E1"/>
    <w:rsid w:val="004C78B3"/>
    <w:rsid w:val="00506F62"/>
    <w:rsid w:val="0050741D"/>
    <w:rsid w:val="00507CD6"/>
    <w:rsid w:val="005143F3"/>
    <w:rsid w:val="00523157"/>
    <w:rsid w:val="0052416F"/>
    <w:rsid w:val="00530146"/>
    <w:rsid w:val="00531583"/>
    <w:rsid w:val="005323E3"/>
    <w:rsid w:val="00537DC7"/>
    <w:rsid w:val="0054167E"/>
    <w:rsid w:val="00542237"/>
    <w:rsid w:val="005439E4"/>
    <w:rsid w:val="0054573B"/>
    <w:rsid w:val="00545D14"/>
    <w:rsid w:val="00545DE5"/>
    <w:rsid w:val="0054651F"/>
    <w:rsid w:val="00551CA6"/>
    <w:rsid w:val="00552E2D"/>
    <w:rsid w:val="005550D4"/>
    <w:rsid w:val="005677D6"/>
    <w:rsid w:val="00572CD7"/>
    <w:rsid w:val="00581E31"/>
    <w:rsid w:val="00584B16"/>
    <w:rsid w:val="00586465"/>
    <w:rsid w:val="00597663"/>
    <w:rsid w:val="005A1FE5"/>
    <w:rsid w:val="005B7401"/>
    <w:rsid w:val="005C3F5E"/>
    <w:rsid w:val="005D19EF"/>
    <w:rsid w:val="005D2855"/>
    <w:rsid w:val="005D3327"/>
    <w:rsid w:val="005E482E"/>
    <w:rsid w:val="005F2E23"/>
    <w:rsid w:val="005F3CE0"/>
    <w:rsid w:val="005F3EA3"/>
    <w:rsid w:val="005F4304"/>
    <w:rsid w:val="00600DF4"/>
    <w:rsid w:val="00602435"/>
    <w:rsid w:val="006106FE"/>
    <w:rsid w:val="006147C9"/>
    <w:rsid w:val="00616148"/>
    <w:rsid w:val="006373E6"/>
    <w:rsid w:val="00646792"/>
    <w:rsid w:val="00652EB8"/>
    <w:rsid w:val="00654E9C"/>
    <w:rsid w:val="006606D5"/>
    <w:rsid w:val="00662AED"/>
    <w:rsid w:val="006639E5"/>
    <w:rsid w:val="0066783E"/>
    <w:rsid w:val="00675ADA"/>
    <w:rsid w:val="0067691A"/>
    <w:rsid w:val="00680037"/>
    <w:rsid w:val="00684B71"/>
    <w:rsid w:val="00687A6B"/>
    <w:rsid w:val="00696107"/>
    <w:rsid w:val="006A0ADD"/>
    <w:rsid w:val="006A1339"/>
    <w:rsid w:val="00700AB9"/>
    <w:rsid w:val="00712595"/>
    <w:rsid w:val="00713657"/>
    <w:rsid w:val="00715204"/>
    <w:rsid w:val="00717411"/>
    <w:rsid w:val="00731D99"/>
    <w:rsid w:val="007321E6"/>
    <w:rsid w:val="0075382D"/>
    <w:rsid w:val="0075498D"/>
    <w:rsid w:val="007659EB"/>
    <w:rsid w:val="007753A2"/>
    <w:rsid w:val="00777C85"/>
    <w:rsid w:val="00780DF7"/>
    <w:rsid w:val="007827FB"/>
    <w:rsid w:val="00790421"/>
    <w:rsid w:val="007A03DE"/>
    <w:rsid w:val="007A1281"/>
    <w:rsid w:val="007A167F"/>
    <w:rsid w:val="007A1E1F"/>
    <w:rsid w:val="007C65B6"/>
    <w:rsid w:val="007D2049"/>
    <w:rsid w:val="007E51C4"/>
    <w:rsid w:val="007E53FC"/>
    <w:rsid w:val="007F6633"/>
    <w:rsid w:val="007F781D"/>
    <w:rsid w:val="00807F90"/>
    <w:rsid w:val="00810384"/>
    <w:rsid w:val="008136B9"/>
    <w:rsid w:val="008215E6"/>
    <w:rsid w:val="00821D04"/>
    <w:rsid w:val="008224AF"/>
    <w:rsid w:val="008224E5"/>
    <w:rsid w:val="00833B70"/>
    <w:rsid w:val="00834A55"/>
    <w:rsid w:val="00843714"/>
    <w:rsid w:val="008624A7"/>
    <w:rsid w:val="00866AAF"/>
    <w:rsid w:val="00872826"/>
    <w:rsid w:val="00874387"/>
    <w:rsid w:val="008803FB"/>
    <w:rsid w:val="00880917"/>
    <w:rsid w:val="00887246"/>
    <w:rsid w:val="008A1345"/>
    <w:rsid w:val="008A44EE"/>
    <w:rsid w:val="008B1308"/>
    <w:rsid w:val="008C1EE8"/>
    <w:rsid w:val="008C6EAD"/>
    <w:rsid w:val="008E6187"/>
    <w:rsid w:val="0090752D"/>
    <w:rsid w:val="00913B46"/>
    <w:rsid w:val="009168D8"/>
    <w:rsid w:val="00921F1F"/>
    <w:rsid w:val="00932F1D"/>
    <w:rsid w:val="009376F1"/>
    <w:rsid w:val="00952F7E"/>
    <w:rsid w:val="00956FF9"/>
    <w:rsid w:val="0097020A"/>
    <w:rsid w:val="00974021"/>
    <w:rsid w:val="00976C09"/>
    <w:rsid w:val="009834F4"/>
    <w:rsid w:val="00985913"/>
    <w:rsid w:val="00987219"/>
    <w:rsid w:val="00987229"/>
    <w:rsid w:val="00987769"/>
    <w:rsid w:val="009960BA"/>
    <w:rsid w:val="0099693B"/>
    <w:rsid w:val="009A0840"/>
    <w:rsid w:val="009B6169"/>
    <w:rsid w:val="009D03FB"/>
    <w:rsid w:val="009D213C"/>
    <w:rsid w:val="009D741B"/>
    <w:rsid w:val="009D7431"/>
    <w:rsid w:val="009E6E4A"/>
    <w:rsid w:val="009F35C9"/>
    <w:rsid w:val="009F6946"/>
    <w:rsid w:val="009F6FB9"/>
    <w:rsid w:val="00A1049C"/>
    <w:rsid w:val="00A13BBB"/>
    <w:rsid w:val="00A30A77"/>
    <w:rsid w:val="00A34AED"/>
    <w:rsid w:val="00A4758A"/>
    <w:rsid w:val="00A4789E"/>
    <w:rsid w:val="00A502D6"/>
    <w:rsid w:val="00A54412"/>
    <w:rsid w:val="00A56EE3"/>
    <w:rsid w:val="00A61CC6"/>
    <w:rsid w:val="00AB010F"/>
    <w:rsid w:val="00AB1627"/>
    <w:rsid w:val="00AB24A1"/>
    <w:rsid w:val="00AB5D72"/>
    <w:rsid w:val="00AC73B1"/>
    <w:rsid w:val="00AD1BA3"/>
    <w:rsid w:val="00AD328E"/>
    <w:rsid w:val="00AD5B60"/>
    <w:rsid w:val="00AE1A41"/>
    <w:rsid w:val="00AE2557"/>
    <w:rsid w:val="00AE286C"/>
    <w:rsid w:val="00AF2A30"/>
    <w:rsid w:val="00AF2FC9"/>
    <w:rsid w:val="00B060B4"/>
    <w:rsid w:val="00B10780"/>
    <w:rsid w:val="00B149B9"/>
    <w:rsid w:val="00B25AE9"/>
    <w:rsid w:val="00B34DA0"/>
    <w:rsid w:val="00B37218"/>
    <w:rsid w:val="00B53AC2"/>
    <w:rsid w:val="00B54BED"/>
    <w:rsid w:val="00B56A60"/>
    <w:rsid w:val="00B61B02"/>
    <w:rsid w:val="00B62EAB"/>
    <w:rsid w:val="00B66F27"/>
    <w:rsid w:val="00B71784"/>
    <w:rsid w:val="00B73237"/>
    <w:rsid w:val="00B766C7"/>
    <w:rsid w:val="00B77BEC"/>
    <w:rsid w:val="00B822C9"/>
    <w:rsid w:val="00B85E01"/>
    <w:rsid w:val="00B86857"/>
    <w:rsid w:val="00B92A1C"/>
    <w:rsid w:val="00BA043B"/>
    <w:rsid w:val="00BA40E2"/>
    <w:rsid w:val="00BB008E"/>
    <w:rsid w:val="00BB290B"/>
    <w:rsid w:val="00BB2E37"/>
    <w:rsid w:val="00BB508E"/>
    <w:rsid w:val="00BC3FED"/>
    <w:rsid w:val="00BD3E3A"/>
    <w:rsid w:val="00BE36A8"/>
    <w:rsid w:val="00BE5E95"/>
    <w:rsid w:val="00BF12D5"/>
    <w:rsid w:val="00BF582C"/>
    <w:rsid w:val="00C078B4"/>
    <w:rsid w:val="00C10954"/>
    <w:rsid w:val="00C10ABB"/>
    <w:rsid w:val="00C168E0"/>
    <w:rsid w:val="00C21D67"/>
    <w:rsid w:val="00C31061"/>
    <w:rsid w:val="00C458C7"/>
    <w:rsid w:val="00C64E26"/>
    <w:rsid w:val="00C676B0"/>
    <w:rsid w:val="00C67870"/>
    <w:rsid w:val="00C70D10"/>
    <w:rsid w:val="00C77317"/>
    <w:rsid w:val="00C77D7D"/>
    <w:rsid w:val="00C82E17"/>
    <w:rsid w:val="00C84281"/>
    <w:rsid w:val="00C944F0"/>
    <w:rsid w:val="00CA62D5"/>
    <w:rsid w:val="00CA71B1"/>
    <w:rsid w:val="00CB28CA"/>
    <w:rsid w:val="00CB4E5F"/>
    <w:rsid w:val="00CB74F8"/>
    <w:rsid w:val="00CC1E39"/>
    <w:rsid w:val="00CC3092"/>
    <w:rsid w:val="00CE1E51"/>
    <w:rsid w:val="00CE2CE2"/>
    <w:rsid w:val="00CE2D7F"/>
    <w:rsid w:val="00D05E05"/>
    <w:rsid w:val="00D12690"/>
    <w:rsid w:val="00D2156D"/>
    <w:rsid w:val="00D3394A"/>
    <w:rsid w:val="00D33D22"/>
    <w:rsid w:val="00D343F1"/>
    <w:rsid w:val="00D365EB"/>
    <w:rsid w:val="00D52D0C"/>
    <w:rsid w:val="00D5473E"/>
    <w:rsid w:val="00D55110"/>
    <w:rsid w:val="00D5522E"/>
    <w:rsid w:val="00D553F7"/>
    <w:rsid w:val="00D6210F"/>
    <w:rsid w:val="00D656CF"/>
    <w:rsid w:val="00D72158"/>
    <w:rsid w:val="00D72826"/>
    <w:rsid w:val="00D72E4B"/>
    <w:rsid w:val="00D73351"/>
    <w:rsid w:val="00D75D86"/>
    <w:rsid w:val="00D8064E"/>
    <w:rsid w:val="00D81177"/>
    <w:rsid w:val="00D8239A"/>
    <w:rsid w:val="00D84CCB"/>
    <w:rsid w:val="00D97240"/>
    <w:rsid w:val="00D97428"/>
    <w:rsid w:val="00DA6E74"/>
    <w:rsid w:val="00DC25CA"/>
    <w:rsid w:val="00DC3F8B"/>
    <w:rsid w:val="00DD02BD"/>
    <w:rsid w:val="00DD10CE"/>
    <w:rsid w:val="00DD5B7C"/>
    <w:rsid w:val="00DF292E"/>
    <w:rsid w:val="00E01A6D"/>
    <w:rsid w:val="00E12201"/>
    <w:rsid w:val="00E160AF"/>
    <w:rsid w:val="00E16D28"/>
    <w:rsid w:val="00E2193E"/>
    <w:rsid w:val="00E21F44"/>
    <w:rsid w:val="00E23E21"/>
    <w:rsid w:val="00E26883"/>
    <w:rsid w:val="00E31B19"/>
    <w:rsid w:val="00E335FB"/>
    <w:rsid w:val="00E376A9"/>
    <w:rsid w:val="00E44160"/>
    <w:rsid w:val="00E52816"/>
    <w:rsid w:val="00E6251F"/>
    <w:rsid w:val="00E6399C"/>
    <w:rsid w:val="00E64943"/>
    <w:rsid w:val="00E65E71"/>
    <w:rsid w:val="00E81B44"/>
    <w:rsid w:val="00E81B67"/>
    <w:rsid w:val="00EC77A9"/>
    <w:rsid w:val="00ED4951"/>
    <w:rsid w:val="00EE0745"/>
    <w:rsid w:val="00EF6719"/>
    <w:rsid w:val="00F13BC0"/>
    <w:rsid w:val="00F17CFA"/>
    <w:rsid w:val="00F337FE"/>
    <w:rsid w:val="00F36FA1"/>
    <w:rsid w:val="00F3785E"/>
    <w:rsid w:val="00F40FD6"/>
    <w:rsid w:val="00F41965"/>
    <w:rsid w:val="00F45746"/>
    <w:rsid w:val="00F558CC"/>
    <w:rsid w:val="00F67D54"/>
    <w:rsid w:val="00F74F6B"/>
    <w:rsid w:val="00F77DD8"/>
    <w:rsid w:val="00F80671"/>
    <w:rsid w:val="00F823B4"/>
    <w:rsid w:val="00F843C1"/>
    <w:rsid w:val="00F849E6"/>
    <w:rsid w:val="00F863ED"/>
    <w:rsid w:val="00F86659"/>
    <w:rsid w:val="00F9784A"/>
    <w:rsid w:val="00FB0035"/>
    <w:rsid w:val="00FC0A7C"/>
    <w:rsid w:val="00FC33A4"/>
    <w:rsid w:val="00FC68B2"/>
    <w:rsid w:val="00FD0C5A"/>
    <w:rsid w:val="00FE3DDB"/>
    <w:rsid w:val="00FE6A6C"/>
    <w:rsid w:val="12F17558"/>
    <w:rsid w:val="15532C0C"/>
    <w:rsid w:val="16CB67C4"/>
    <w:rsid w:val="182D42C1"/>
    <w:rsid w:val="248C0C46"/>
    <w:rsid w:val="3FDA6513"/>
    <w:rsid w:val="4B4E3276"/>
    <w:rsid w:val="4FE102A3"/>
    <w:rsid w:val="564978FD"/>
    <w:rsid w:val="598004E4"/>
    <w:rsid w:val="61BD35D1"/>
    <w:rsid w:val="68C21568"/>
    <w:rsid w:val="691C5356"/>
    <w:rsid w:val="6D9031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3"/>
    <w:basedOn w:val="1"/>
    <w:link w:val="12"/>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0"/>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paragraph" w:customStyle="1" w:styleId="8">
    <w:name w:val="列出段落1"/>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0"/>
    <w:rPr>
      <w:sz w:val="18"/>
      <w:szCs w:val="18"/>
    </w:rPr>
  </w:style>
  <w:style w:type="paragraph" w:customStyle="1" w:styleId="11">
    <w:name w:val="无间隔1"/>
    <w:qFormat/>
    <w:uiPriority w:val="1"/>
    <w:pPr>
      <w:adjustRightInd w:val="0"/>
      <w:snapToGrid w:val="0"/>
      <w:spacing w:line="360" w:lineRule="auto"/>
      <w:ind w:firstLine="200" w:firstLineChars="200"/>
    </w:pPr>
    <w:rPr>
      <w:rFonts w:ascii="Tahoma" w:hAnsi="Tahoma" w:eastAsia="仿宋_GB2312" w:cs="Times New Roman"/>
      <w:sz w:val="32"/>
      <w:szCs w:val="22"/>
      <w:lang w:val="en-US" w:eastAsia="zh-CN" w:bidi="ar-SA"/>
    </w:rPr>
  </w:style>
  <w:style w:type="character" w:customStyle="1" w:styleId="12">
    <w:name w:val="标题 3 字符"/>
    <w:basedOn w:val="7"/>
    <w:link w:val="2"/>
    <w:qFormat/>
    <w:uiPriority w:val="9"/>
    <w:rPr>
      <w:rFonts w:ascii="宋体" w:hAnsi="宋体" w:cs="宋体"/>
      <w:b/>
      <w:bCs/>
      <w:sz w:val="27"/>
      <w:szCs w:val="27"/>
    </w:rPr>
  </w:style>
  <w:style w:type="paragraph" w:styleId="13">
    <w:name w:val="List Paragraph"/>
    <w:basedOn w:val="1"/>
    <w:unhideWhenUsed/>
    <w:qFormat/>
    <w:uiPriority w:val="99"/>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2714</Words>
  <Characters>2910</Characters>
  <Lines>23</Lines>
  <Paragraphs>6</Paragraphs>
  <TotalTime>0</TotalTime>
  <ScaleCrop>false</ScaleCrop>
  <LinksUpToDate>false</LinksUpToDate>
  <CharactersWithSpaces>2939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2024-07-07T00:01:00Z</dcterms:created>
  <dc:creator>微软用户</dc:creator>
  <cp:lastModifiedBy>Babycherie</cp:lastModifiedBy>
  <cp:lastPrinted>2023-04-24T08:30:00Z</cp:lastPrinted>
  <dcterms:modified xsi:type="dcterms:W3CDTF">2024-09-07T07:39:52Z</dcterms:modified>
  <dc:title>怀化职业技术学院</dc:title>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AADF454247984AFCBBCF9E57B34F3FF3_13</vt:lpwstr>
  </property>
</Properties>
</file>